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jc w:val="center"/>
      </w:pPr>
      <w:r>
        <w:rPr>
          <w:b/>
          <w:color w:val="2E74B5"/>
          <w:sz w:val="22"/>
        </w:rPr>
        <w:t>VETSLEARN APPLIED AI ACADEMY</w:t>
      </w:r>
    </w:p>
    <w:p>
      <w:pPr>
        <w:jc w:val="center"/>
      </w:pPr>
      <w:r>
        <w:rPr>
          <w:b/>
          <w:color w:val="1F4D78"/>
          <w:sz w:val="52"/>
        </w:rPr>
        <w:t>AI Application Builder Learner Manual</w:t>
      </w:r>
    </w:p>
    <w:p>
      <w:pPr>
        <w:jc w:val="center"/>
      </w:pPr>
      <w:r>
        <w:rPr>
          <w:color w:val="505050"/>
          <w:sz w:val="28"/>
        </w:rPr>
        <w:t>Complete 12-lesson customer courseware | 142 planned hours</w:t>
      </w:r>
    </w:p>
    <w:p>
      <w:pPr>
        <w:spacing w:before="800"/>
        <w:jc w:val="center"/>
      </w:pPr>
      <w:r>
        <w:rPr>
          <w:b/>
          <w:color w:val="5A626C"/>
          <w:sz w:val="20"/>
        </w:rPr>
        <w:t>RELEASE CANDIDATE - SYNTHETIC DATA ONLY</w:t>
      </w:r>
    </w:p>
    <w:p>
      <w:r>
        <w:br w:type="page"/>
      </w:r>
    </w:p>
    <w:p>
      <w:pPr>
        <w:pStyle w:val="Heading1"/>
      </w:pPr>
      <w:r>
        <w:t>Document control and use</w:t>
      </w:r>
    </w:p>
    <w:p>
      <w: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r>
        <w:t>Design preset: compact_reference_guide. Header pattern: editorial_cover. Editable source lessons are the controlled Markdown files in this release package.</w:t>
      </w:r>
    </w:p>
    <w:p>
      <w:pPr>
        <w:pStyle w:val="Heading1"/>
      </w:pPr>
      <w:r>
        <w:t>Course map</w:t>
      </w:r>
    </w:p>
    <w:tbl>
      <w:tblPr>
        <w:tblW w:type="auto" w:w="0"/>
        <w:tblLayout w:type="fixed"/>
        <w:tblLook w:firstColumn="1" w:firstRow="1" w:lastColumn="0" w:lastRow="0" w:noHBand="0" w:noVBand="1" w:val="04A0"/>
      </w:tblPr>
      <w:tblGrid>
        <w:gridCol w:w="2340"/>
        <w:gridCol w:w="2340"/>
        <w:gridCol w:w="2340"/>
        <w:gridCol w:w="2340"/>
      </w:tblGrid>
      <w:tr>
        <w:tc>
          <w:tcPr>
            <w:tcW w:type="dxa" w:w="1008"/>
            <w:shd w:fill="E8EEF5"/>
            <w:tcMar>
              <w:top w:w="80" w:type="dxa"/>
              <w:start w:w="120" w:type="dxa"/>
              <w:bottom w:w="80" w:type="dxa"/>
              <w:end w:w="120" w:type="dxa"/>
            </w:tcMar>
          </w:tcPr>
          <w:p>
            <w:r>
              <w:t>ID</w:t>
            </w:r>
          </w:p>
        </w:tc>
        <w:tc>
          <w:tcPr>
            <w:tcW w:type="dxa" w:w="4896"/>
            <w:shd w:fill="E8EEF5"/>
            <w:tcMar>
              <w:top w:w="80" w:type="dxa"/>
              <w:start w:w="120" w:type="dxa"/>
              <w:bottom w:w="80" w:type="dxa"/>
              <w:end w:w="120" w:type="dxa"/>
            </w:tcMar>
          </w:tcPr>
          <w:p>
            <w:r>
              <w:t>Lesson</w:t>
            </w:r>
          </w:p>
        </w:tc>
        <w:tc>
          <w:tcPr>
            <w:tcW w:type="dxa" w:w="1152"/>
            <w:shd w:fill="E8EEF5"/>
            <w:tcMar>
              <w:top w:w="80" w:type="dxa"/>
              <w:start w:w="120" w:type="dxa"/>
              <w:bottom w:w="80" w:type="dxa"/>
              <w:end w:w="120" w:type="dxa"/>
            </w:tcMar>
          </w:tcPr>
          <w:p>
            <w:r>
              <w:t>Hours</w:t>
            </w:r>
          </w:p>
        </w:tc>
        <w:tc>
          <w:tcPr>
            <w:tcW w:type="dxa" w:w="2304"/>
            <w:shd w:fill="E8EEF5"/>
            <w:tcMar>
              <w:top w:w="80" w:type="dxa"/>
              <w:start w:w="120" w:type="dxa"/>
              <w:bottom w:w="80" w:type="dxa"/>
              <w:end w:w="120" w:type="dxa"/>
            </w:tcMar>
          </w:tcPr>
          <w:p>
            <w:r>
              <w:t>Task</w:t>
            </w:r>
          </w:p>
        </w:tc>
        <w:trPr>
          <w:tblHeader/>
        </w:trPr>
      </w:tr>
      <w:tr>
        <w:tc>
          <w:tcPr>
            <w:tcW w:type="dxa" w:w="1008"/>
            <w:tcMar>
              <w:top w:w="80" w:type="dxa"/>
              <w:start w:w="120" w:type="dxa"/>
              <w:bottom w:w="80" w:type="dxa"/>
              <w:end w:w="120" w:type="dxa"/>
            </w:tcMar>
          </w:tcPr>
          <w:p>
            <w:r>
              <w:t>B01</w:t>
            </w:r>
          </w:p>
        </w:tc>
        <w:tc>
          <w:tcPr>
            <w:tcW w:type="dxa" w:w="4896"/>
            <w:tcMar>
              <w:top w:w="80" w:type="dxa"/>
              <w:start w:w="120" w:type="dxa"/>
              <w:bottom w:w="80" w:type="dxa"/>
              <w:end w:w="120" w:type="dxa"/>
            </w:tcMar>
          </w:tcPr>
          <w:p>
            <w:r>
              <w:t>Command line, Git, Python, and environments</w:t>
            </w:r>
          </w:p>
        </w:tc>
        <w:tc>
          <w:tcPr>
            <w:tcW w:type="dxa" w:w="1152"/>
            <w:tcMar>
              <w:top w:w="80" w:type="dxa"/>
              <w:start w:w="120" w:type="dxa"/>
              <w:bottom w:w="80" w:type="dxa"/>
              <w:end w:w="120" w:type="dxa"/>
            </w:tcMar>
          </w:tcPr>
          <w:p>
            <w:r>
              <w:t>8</w:t>
            </w:r>
          </w:p>
        </w:tc>
        <w:tc>
          <w:tcPr>
            <w:tcW w:type="dxa" w:w="2304"/>
            <w:tcMar>
              <w:top w:w="80" w:type="dxa"/>
              <w:start w:w="120" w:type="dxa"/>
              <w:bottom w:w="80" w:type="dxa"/>
              <w:end w:w="120" w:type="dxa"/>
            </w:tcMar>
          </w:tcPr>
          <w:p>
            <w:r>
              <w:t>TASK-B001</w:t>
            </w:r>
          </w:p>
        </w:tc>
      </w:tr>
      <w:tr>
        <w:tc>
          <w:tcPr>
            <w:tcW w:type="dxa" w:w="1008"/>
            <w:tcMar>
              <w:top w:w="80" w:type="dxa"/>
              <w:start w:w="120" w:type="dxa"/>
              <w:bottom w:w="80" w:type="dxa"/>
              <w:end w:w="120" w:type="dxa"/>
            </w:tcMar>
          </w:tcPr>
          <w:p>
            <w:r>
              <w:t>B02</w:t>
            </w:r>
          </w:p>
        </w:tc>
        <w:tc>
          <w:tcPr>
            <w:tcW w:type="dxa" w:w="4896"/>
            <w:tcMar>
              <w:top w:w="80" w:type="dxa"/>
              <w:start w:w="120" w:type="dxa"/>
              <w:bottom w:w="80" w:type="dxa"/>
              <w:end w:w="120" w:type="dxa"/>
            </w:tcMar>
          </w:tcPr>
          <w:p>
            <w:r>
              <w:t>HTTP, JSON, APIs, secrets, and failure handling</w:t>
            </w:r>
          </w:p>
        </w:tc>
        <w:tc>
          <w:tcPr>
            <w:tcW w:type="dxa" w:w="1152"/>
            <w:tcMar>
              <w:top w:w="80" w:type="dxa"/>
              <w:start w:w="120" w:type="dxa"/>
              <w:bottom w:w="80" w:type="dxa"/>
              <w:end w:w="120" w:type="dxa"/>
            </w:tcMar>
          </w:tcPr>
          <w:p>
            <w:r>
              <w:t>8</w:t>
            </w:r>
          </w:p>
        </w:tc>
        <w:tc>
          <w:tcPr>
            <w:tcW w:type="dxa" w:w="2304"/>
            <w:tcMar>
              <w:top w:w="80" w:type="dxa"/>
              <w:start w:w="120" w:type="dxa"/>
              <w:bottom w:w="80" w:type="dxa"/>
              <w:end w:w="120" w:type="dxa"/>
            </w:tcMar>
          </w:tcPr>
          <w:p>
            <w:r>
              <w:t>TASK-B002</w:t>
            </w:r>
          </w:p>
        </w:tc>
      </w:tr>
      <w:tr>
        <w:tc>
          <w:tcPr>
            <w:tcW w:type="dxa" w:w="1008"/>
            <w:tcMar>
              <w:top w:w="80" w:type="dxa"/>
              <w:start w:w="120" w:type="dxa"/>
              <w:bottom w:w="80" w:type="dxa"/>
              <w:end w:w="120" w:type="dxa"/>
            </w:tcMar>
          </w:tcPr>
          <w:p>
            <w:r>
              <w:t>B03</w:t>
            </w:r>
          </w:p>
        </w:tc>
        <w:tc>
          <w:tcPr>
            <w:tcW w:type="dxa" w:w="4896"/>
            <w:tcMar>
              <w:top w:w="80" w:type="dxa"/>
              <w:start w:w="120" w:type="dxa"/>
              <w:bottom w:w="80" w:type="dxa"/>
              <w:end w:w="120" w:type="dxa"/>
            </w:tcMar>
          </w:tcPr>
          <w:p>
            <w:r>
              <w:t>Provider-neutral generation APIs</w:t>
            </w:r>
          </w:p>
        </w:tc>
        <w:tc>
          <w:tcPr>
            <w:tcW w:type="dxa" w:w="1152"/>
            <w:tcMar>
              <w:top w:w="80" w:type="dxa"/>
              <w:start w:w="120" w:type="dxa"/>
              <w:bottom w:w="80" w:type="dxa"/>
              <w:end w:w="120" w:type="dxa"/>
            </w:tcMar>
          </w:tcPr>
          <w:p>
            <w:r>
              <w:t>8</w:t>
            </w:r>
          </w:p>
        </w:tc>
        <w:tc>
          <w:tcPr>
            <w:tcW w:type="dxa" w:w="2304"/>
            <w:tcMar>
              <w:top w:w="80" w:type="dxa"/>
              <w:start w:w="120" w:type="dxa"/>
              <w:bottom w:w="80" w:type="dxa"/>
              <w:end w:w="120" w:type="dxa"/>
            </w:tcMar>
          </w:tcPr>
          <w:p>
            <w:r>
              <w:t>TASK-B003</w:t>
            </w:r>
          </w:p>
        </w:tc>
      </w:tr>
      <w:tr>
        <w:tc>
          <w:tcPr>
            <w:tcW w:type="dxa" w:w="1008"/>
            <w:tcMar>
              <w:top w:w="80" w:type="dxa"/>
              <w:start w:w="120" w:type="dxa"/>
              <w:bottom w:w="80" w:type="dxa"/>
              <w:end w:w="120" w:type="dxa"/>
            </w:tcMar>
          </w:tcPr>
          <w:p>
            <w:r>
              <w:t>B04</w:t>
            </w:r>
          </w:p>
        </w:tc>
        <w:tc>
          <w:tcPr>
            <w:tcW w:type="dxa" w:w="4896"/>
            <w:tcMar>
              <w:top w:w="80" w:type="dxa"/>
              <w:start w:w="120" w:type="dxa"/>
              <w:bottom w:w="80" w:type="dxa"/>
              <w:end w:w="120" w:type="dxa"/>
            </w:tcMar>
          </w:tcPr>
          <w:p>
            <w:r>
              <w:t>Data engineering for AI applications</w:t>
            </w:r>
          </w:p>
        </w:tc>
        <w:tc>
          <w:tcPr>
            <w:tcW w:type="dxa" w:w="1152"/>
            <w:tcMar>
              <w:top w:w="80" w:type="dxa"/>
              <w:start w:w="120" w:type="dxa"/>
              <w:bottom w:w="80" w:type="dxa"/>
              <w:end w:w="120" w:type="dxa"/>
            </w:tcMar>
          </w:tcPr>
          <w:p>
            <w:r>
              <w:t>9</w:t>
            </w:r>
          </w:p>
        </w:tc>
        <w:tc>
          <w:tcPr>
            <w:tcW w:type="dxa" w:w="2304"/>
            <w:tcMar>
              <w:top w:w="80" w:type="dxa"/>
              <w:start w:w="120" w:type="dxa"/>
              <w:bottom w:w="80" w:type="dxa"/>
              <w:end w:w="120" w:type="dxa"/>
            </w:tcMar>
          </w:tcPr>
          <w:p>
            <w:r>
              <w:t>TASK-B004</w:t>
            </w:r>
          </w:p>
        </w:tc>
      </w:tr>
      <w:tr>
        <w:tc>
          <w:tcPr>
            <w:tcW w:type="dxa" w:w="1008"/>
            <w:tcMar>
              <w:top w:w="80" w:type="dxa"/>
              <w:start w:w="120" w:type="dxa"/>
              <w:bottom w:w="80" w:type="dxa"/>
              <w:end w:w="120" w:type="dxa"/>
            </w:tcMar>
          </w:tcPr>
          <w:p>
            <w:r>
              <w:t>B05</w:t>
            </w:r>
          </w:p>
        </w:tc>
        <w:tc>
          <w:tcPr>
            <w:tcW w:type="dxa" w:w="4896"/>
            <w:tcMar>
              <w:top w:w="80" w:type="dxa"/>
              <w:start w:w="120" w:type="dxa"/>
              <w:bottom w:w="80" w:type="dxa"/>
              <w:end w:w="120" w:type="dxa"/>
            </w:tcMar>
          </w:tcPr>
          <w:p>
            <w:r>
              <w:t>Software quality, testing, and safe telemetry</w:t>
            </w:r>
          </w:p>
        </w:tc>
        <w:tc>
          <w:tcPr>
            <w:tcW w:type="dxa" w:w="1152"/>
            <w:tcMar>
              <w:top w:w="80" w:type="dxa"/>
              <w:start w:w="120" w:type="dxa"/>
              <w:bottom w:w="80" w:type="dxa"/>
              <w:end w:w="120" w:type="dxa"/>
            </w:tcMar>
          </w:tcPr>
          <w:p>
            <w:r>
              <w:t>9</w:t>
            </w:r>
          </w:p>
        </w:tc>
        <w:tc>
          <w:tcPr>
            <w:tcW w:type="dxa" w:w="2304"/>
            <w:tcMar>
              <w:top w:w="80" w:type="dxa"/>
              <w:start w:w="120" w:type="dxa"/>
              <w:bottom w:w="80" w:type="dxa"/>
              <w:end w:w="120" w:type="dxa"/>
            </w:tcMar>
          </w:tcPr>
          <w:p>
            <w:r>
              <w:t>TASK-B005</w:t>
            </w:r>
          </w:p>
        </w:tc>
      </w:tr>
      <w:tr>
        <w:tc>
          <w:tcPr>
            <w:tcW w:type="dxa" w:w="1008"/>
            <w:tcMar>
              <w:top w:w="80" w:type="dxa"/>
              <w:start w:w="120" w:type="dxa"/>
              <w:bottom w:w="80" w:type="dxa"/>
              <w:end w:w="120" w:type="dxa"/>
            </w:tcMar>
          </w:tcPr>
          <w:p>
            <w:r>
              <w:t>B06</w:t>
            </w:r>
          </w:p>
        </w:tc>
        <w:tc>
          <w:tcPr>
            <w:tcW w:type="dxa" w:w="4896"/>
            <w:tcMar>
              <w:top w:w="80" w:type="dxa"/>
              <w:start w:w="120" w:type="dxa"/>
              <w:bottom w:w="80" w:type="dxa"/>
              <w:end w:w="120" w:type="dxa"/>
            </w:tcMar>
          </w:tcPr>
          <w:p>
            <w:r>
              <w:t>Structured outputs and bounded tools</w:t>
            </w:r>
          </w:p>
        </w:tc>
        <w:tc>
          <w:tcPr>
            <w:tcW w:type="dxa" w:w="1152"/>
            <w:tcMar>
              <w:top w:w="80" w:type="dxa"/>
              <w:start w:w="120" w:type="dxa"/>
              <w:bottom w:w="80" w:type="dxa"/>
              <w:end w:w="120" w:type="dxa"/>
            </w:tcMar>
          </w:tcPr>
          <w:p>
            <w:r>
              <w:t>8</w:t>
            </w:r>
          </w:p>
        </w:tc>
        <w:tc>
          <w:tcPr>
            <w:tcW w:type="dxa" w:w="2304"/>
            <w:tcMar>
              <w:top w:w="80" w:type="dxa"/>
              <w:start w:w="120" w:type="dxa"/>
              <w:bottom w:w="80" w:type="dxa"/>
              <w:end w:w="120" w:type="dxa"/>
            </w:tcMar>
          </w:tcPr>
          <w:p>
            <w:r>
              <w:t>TASK-B006</w:t>
            </w:r>
          </w:p>
        </w:tc>
      </w:tr>
      <w:tr>
        <w:tc>
          <w:tcPr>
            <w:tcW w:type="dxa" w:w="1008"/>
            <w:tcMar>
              <w:top w:w="80" w:type="dxa"/>
              <w:start w:w="120" w:type="dxa"/>
              <w:bottom w:w="80" w:type="dxa"/>
              <w:end w:w="120" w:type="dxa"/>
            </w:tcMar>
          </w:tcPr>
          <w:p>
            <w:r>
              <w:t>B07</w:t>
            </w:r>
          </w:p>
        </w:tc>
        <w:tc>
          <w:tcPr>
            <w:tcW w:type="dxa" w:w="4896"/>
            <w:tcMar>
              <w:top w:w="80" w:type="dxa"/>
              <w:start w:w="120" w:type="dxa"/>
              <w:bottom w:w="80" w:type="dxa"/>
              <w:end w:w="120" w:type="dxa"/>
            </w:tcMar>
          </w:tcPr>
          <w:p>
            <w:r>
              <w:t>Retrieval baseline from first principles</w:t>
            </w:r>
          </w:p>
        </w:tc>
        <w:tc>
          <w:tcPr>
            <w:tcW w:type="dxa" w:w="1152"/>
            <w:tcMar>
              <w:top w:w="80" w:type="dxa"/>
              <w:start w:w="120" w:type="dxa"/>
              <w:bottom w:w="80" w:type="dxa"/>
              <w:end w:w="120" w:type="dxa"/>
            </w:tcMar>
          </w:tcPr>
          <w:p>
            <w:r>
              <w:t>9</w:t>
            </w:r>
          </w:p>
        </w:tc>
        <w:tc>
          <w:tcPr>
            <w:tcW w:type="dxa" w:w="2304"/>
            <w:tcMar>
              <w:top w:w="80" w:type="dxa"/>
              <w:start w:w="120" w:type="dxa"/>
              <w:bottom w:w="80" w:type="dxa"/>
              <w:end w:w="120" w:type="dxa"/>
            </w:tcMar>
          </w:tcPr>
          <w:p>
            <w:r>
              <w:t>TASK-B007</w:t>
            </w:r>
          </w:p>
        </w:tc>
      </w:tr>
      <w:tr>
        <w:tc>
          <w:tcPr>
            <w:tcW w:type="dxa" w:w="1008"/>
            <w:tcMar>
              <w:top w:w="80" w:type="dxa"/>
              <w:start w:w="120" w:type="dxa"/>
              <w:bottom w:w="80" w:type="dxa"/>
              <w:end w:w="120" w:type="dxa"/>
            </w:tcMar>
          </w:tcPr>
          <w:p>
            <w:r>
              <w:t>B08</w:t>
            </w:r>
          </w:p>
        </w:tc>
        <w:tc>
          <w:tcPr>
            <w:tcW w:type="dxa" w:w="4896"/>
            <w:tcMar>
              <w:top w:w="80" w:type="dxa"/>
              <w:start w:w="120" w:type="dxa"/>
              <w:bottom w:w="80" w:type="dxa"/>
              <w:end w:w="120" w:type="dxa"/>
            </w:tcMar>
          </w:tcPr>
          <w:p>
            <w:r>
              <w:t>Production RAG: authorization, hybrid search, and grounding</w:t>
            </w:r>
          </w:p>
        </w:tc>
        <w:tc>
          <w:tcPr>
            <w:tcW w:type="dxa" w:w="1152"/>
            <w:tcMar>
              <w:top w:w="80" w:type="dxa"/>
              <w:start w:w="120" w:type="dxa"/>
              <w:bottom w:w="80" w:type="dxa"/>
              <w:end w:w="120" w:type="dxa"/>
            </w:tcMar>
          </w:tcPr>
          <w:p>
            <w:r>
              <w:t>12</w:t>
            </w:r>
          </w:p>
        </w:tc>
        <w:tc>
          <w:tcPr>
            <w:tcW w:type="dxa" w:w="2304"/>
            <w:tcMar>
              <w:top w:w="80" w:type="dxa"/>
              <w:start w:w="120" w:type="dxa"/>
              <w:bottom w:w="80" w:type="dxa"/>
              <w:end w:w="120" w:type="dxa"/>
            </w:tcMar>
          </w:tcPr>
          <w:p>
            <w:r>
              <w:t>TASK-B008</w:t>
            </w:r>
          </w:p>
        </w:tc>
      </w:tr>
      <w:tr>
        <w:tc>
          <w:tcPr>
            <w:tcW w:type="dxa" w:w="1008"/>
            <w:tcMar>
              <w:top w:w="80" w:type="dxa"/>
              <w:start w:w="120" w:type="dxa"/>
              <w:bottom w:w="80" w:type="dxa"/>
              <w:end w:w="120" w:type="dxa"/>
            </w:tcMar>
          </w:tcPr>
          <w:p>
            <w:r>
              <w:t>B09</w:t>
            </w:r>
          </w:p>
        </w:tc>
        <w:tc>
          <w:tcPr>
            <w:tcW w:type="dxa" w:w="4896"/>
            <w:tcMar>
              <w:top w:w="80" w:type="dxa"/>
              <w:start w:w="120" w:type="dxa"/>
              <w:bottom w:w="80" w:type="dxa"/>
              <w:end w:w="120" w:type="dxa"/>
            </w:tcMar>
          </w:tcPr>
          <w:p>
            <w:r>
              <w:t>Evaluation design and release gates</w:t>
            </w:r>
          </w:p>
        </w:tc>
        <w:tc>
          <w:tcPr>
            <w:tcW w:type="dxa" w:w="1152"/>
            <w:tcMar>
              <w:top w:w="80" w:type="dxa"/>
              <w:start w:w="120" w:type="dxa"/>
              <w:bottom w:w="80" w:type="dxa"/>
              <w:end w:w="120" w:type="dxa"/>
            </w:tcMar>
          </w:tcPr>
          <w:p>
            <w:r>
              <w:t>10</w:t>
            </w:r>
          </w:p>
        </w:tc>
        <w:tc>
          <w:tcPr>
            <w:tcW w:type="dxa" w:w="2304"/>
            <w:tcMar>
              <w:top w:w="80" w:type="dxa"/>
              <w:start w:w="120" w:type="dxa"/>
              <w:bottom w:w="80" w:type="dxa"/>
              <w:end w:w="120" w:type="dxa"/>
            </w:tcMar>
          </w:tcPr>
          <w:p>
            <w:r>
              <w:t>TASK-B009</w:t>
            </w:r>
          </w:p>
        </w:tc>
      </w:tr>
      <w:tr>
        <w:tc>
          <w:tcPr>
            <w:tcW w:type="dxa" w:w="1008"/>
            <w:tcMar>
              <w:top w:w="80" w:type="dxa"/>
              <w:start w:w="120" w:type="dxa"/>
              <w:bottom w:w="80" w:type="dxa"/>
              <w:end w:w="120" w:type="dxa"/>
            </w:tcMar>
          </w:tcPr>
          <w:p>
            <w:r>
              <w:t>B10</w:t>
            </w:r>
          </w:p>
        </w:tc>
        <w:tc>
          <w:tcPr>
            <w:tcW w:type="dxa" w:w="4896"/>
            <w:tcMar>
              <w:top w:w="80" w:type="dxa"/>
              <w:start w:w="120" w:type="dxa"/>
              <w:bottom w:w="80" w:type="dxa"/>
              <w:end w:w="120" w:type="dxa"/>
            </w:tcMar>
          </w:tcPr>
          <w:p>
            <w:r>
              <w:t>Agents and tool use under control</w:t>
            </w:r>
          </w:p>
        </w:tc>
        <w:tc>
          <w:tcPr>
            <w:tcW w:type="dxa" w:w="1152"/>
            <w:tcMar>
              <w:top w:w="80" w:type="dxa"/>
              <w:start w:w="120" w:type="dxa"/>
              <w:bottom w:w="80" w:type="dxa"/>
              <w:end w:w="120" w:type="dxa"/>
            </w:tcMar>
          </w:tcPr>
          <w:p>
            <w:r>
              <w:t>12</w:t>
            </w:r>
          </w:p>
        </w:tc>
        <w:tc>
          <w:tcPr>
            <w:tcW w:type="dxa" w:w="2304"/>
            <w:tcMar>
              <w:top w:w="80" w:type="dxa"/>
              <w:start w:w="120" w:type="dxa"/>
              <w:bottom w:w="80" w:type="dxa"/>
              <w:end w:w="120" w:type="dxa"/>
            </w:tcMar>
          </w:tcPr>
          <w:p>
            <w:r>
              <w:t>TASK-B010</w:t>
            </w:r>
          </w:p>
        </w:tc>
      </w:tr>
      <w:tr>
        <w:tc>
          <w:tcPr>
            <w:tcW w:type="dxa" w:w="1008"/>
            <w:tcMar>
              <w:top w:w="80" w:type="dxa"/>
              <w:start w:w="120" w:type="dxa"/>
              <w:bottom w:w="80" w:type="dxa"/>
              <w:end w:w="120" w:type="dxa"/>
            </w:tcMar>
          </w:tcPr>
          <w:p>
            <w:r>
              <w:t>B11</w:t>
            </w:r>
          </w:p>
        </w:tc>
        <w:tc>
          <w:tcPr>
            <w:tcW w:type="dxa" w:w="4896"/>
            <w:tcMar>
              <w:top w:w="80" w:type="dxa"/>
              <w:start w:w="120" w:type="dxa"/>
              <w:bottom w:w="80" w:type="dxa"/>
              <w:end w:w="120" w:type="dxa"/>
            </w:tcMar>
          </w:tcPr>
          <w:p>
            <w:r>
              <w:t>Deployment, operations, and cost evidence</w:t>
            </w:r>
          </w:p>
        </w:tc>
        <w:tc>
          <w:tcPr>
            <w:tcW w:type="dxa" w:w="1152"/>
            <w:tcMar>
              <w:top w:w="80" w:type="dxa"/>
              <w:start w:w="120" w:type="dxa"/>
              <w:bottom w:w="80" w:type="dxa"/>
              <w:end w:w="120" w:type="dxa"/>
            </w:tcMar>
          </w:tcPr>
          <w:p>
            <w:r>
              <w:t>9</w:t>
            </w:r>
          </w:p>
        </w:tc>
        <w:tc>
          <w:tcPr>
            <w:tcW w:type="dxa" w:w="2304"/>
            <w:tcMar>
              <w:top w:w="80" w:type="dxa"/>
              <w:start w:w="120" w:type="dxa"/>
              <w:bottom w:w="80" w:type="dxa"/>
              <w:end w:w="120" w:type="dxa"/>
            </w:tcMar>
          </w:tcPr>
          <w:p>
            <w:r>
              <w:t>TASK-B011</w:t>
            </w:r>
          </w:p>
        </w:tc>
      </w:tr>
      <w:tr>
        <w:tc>
          <w:tcPr>
            <w:tcW w:type="dxa" w:w="1008"/>
            <w:tcMar>
              <w:top w:w="80" w:type="dxa"/>
              <w:start w:w="120" w:type="dxa"/>
              <w:bottom w:w="80" w:type="dxa"/>
              <w:end w:w="120" w:type="dxa"/>
            </w:tcMar>
          </w:tcPr>
          <w:p>
            <w:r>
              <w:t>B12</w:t>
            </w:r>
          </w:p>
        </w:tc>
        <w:tc>
          <w:tcPr>
            <w:tcW w:type="dxa" w:w="4896"/>
            <w:tcMar>
              <w:top w:w="80" w:type="dxa"/>
              <w:start w:w="120" w:type="dxa"/>
              <w:bottom w:w="80" w:type="dxa"/>
              <w:end w:w="120" w:type="dxa"/>
            </w:tcMar>
          </w:tcPr>
          <w:p>
            <w:r>
              <w:t>Builder capstone and technical defense</w:t>
            </w:r>
          </w:p>
        </w:tc>
        <w:tc>
          <w:tcPr>
            <w:tcW w:type="dxa" w:w="1152"/>
            <w:tcMar>
              <w:top w:w="80" w:type="dxa"/>
              <w:start w:w="120" w:type="dxa"/>
              <w:bottom w:w="80" w:type="dxa"/>
              <w:end w:w="120" w:type="dxa"/>
            </w:tcMar>
          </w:tcPr>
          <w:p>
            <w:r>
              <w:t>40</w:t>
            </w:r>
          </w:p>
        </w:tc>
        <w:tc>
          <w:tcPr>
            <w:tcW w:type="dxa" w:w="2304"/>
            <w:tcMar>
              <w:top w:w="80" w:type="dxa"/>
              <w:start w:w="120" w:type="dxa"/>
              <w:bottom w:w="80" w:type="dxa"/>
              <w:end w:w="120" w:type="dxa"/>
            </w:tcMar>
          </w:tcPr>
          <w:p>
            <w:r>
              <w:t>TASK-B012</w:t>
            </w:r>
          </w:p>
        </w:tc>
      </w:tr>
    </w:tbl>
    <w:p>
      <w:r>
        <w:br w:type="page"/>
      </w:r>
    </w:p>
    <w:p>
      <w:pPr>
        <w:pStyle w:val="Heading1"/>
      </w:pPr>
      <w:r>
        <w:t>B01 | Command line, Git, Python, and environments</w:t>
      </w:r>
    </w:p>
    <w:p>
      <w:pPr>
        <w:spacing w:after="40"/>
      </w:pPr>
      <w:r>
        <w:rPr>
          <w:color w:val="464646"/>
          <w:sz w:val="18"/>
        </w:rPr>
        <w:t>Control field | Value</w:t>
      </w:r>
    </w:p>
    <w:p>
      <w:pPr>
        <w:spacing w:after="40"/>
      </w:pPr>
      <w:r>
        <w:rPr>
          <w:color w:val="464646"/>
          <w:sz w:val="18"/>
        </w:rPr>
        <w:t>Artifact ID | LRN-B01-001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8 hours (instruction, guided practice, independent lab, and evidence review)</w:t>
      </w:r>
    </w:p>
    <w:p>
      <w:pPr>
        <w:pStyle w:val="ListBullet"/>
      </w:pPr>
      <w:r>
        <w:t>Curriculum task hypothesis: TASK-B001 -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Create reproducible work from a clean directory.</w:t>
      </w:r>
    </w:p>
    <w:p>
      <w:pPr>
        <w:pStyle w:val="ListNumber"/>
      </w:pPr>
      <w:r>
        <w:t>Implement and test small Python functions.</w:t>
      </w:r>
    </w:p>
    <w:p>
      <w:pPr>
        <w:pStyle w:val="ListNumber"/>
      </w:pPr>
      <w:r>
        <w:t>Pin dependencies and explain provenance and license checks.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 reproducible build is an evidence chain. The repository records intent and change; the environment declaration records runtime assumptions; tests record expected behavior; and the README lets a second person reproduce the result. A virtual environment isolates project packages but does not make them trustworthy. A lock or constraints file reduces version drift but must be reviewed for licenses, vulnerabilities, and origin. Git history should be comprehensible: small commits, reviewable diffs, and branches that express a unit of work. Treat generated output, secrets, caches, and local configuration as excluded by default.</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Choose what belongs in source control versus generated evidence.</w:t>
      </w:r>
    </w:p>
    <w:p>
      <w:pPr>
        <w:pStyle w:val="ListBullet"/>
      </w:pPr>
      <w:r>
        <w:t>Decide which dependencies require exact pins and which may use bounded ranges.</w:t>
      </w:r>
    </w:p>
    <w:p>
      <w:pPr>
        <w:pStyle w:val="ListBullet"/>
      </w:pPr>
      <w:r>
        <w:t>Define the clean-environment reproduction check before coding.</w:t>
      </w:r>
    </w:p>
    <w:p>
      <w:pPr>
        <w:pStyle w:val="Heading2"/>
      </w:pPr>
      <w:r>
        <w:t>Worked example</w:t>
      </w:r>
    </w:p>
    <w:p>
      <w:r>
        <w:rPr>
          <w:rFonts w:ascii="Calibri" w:hAnsi="Calibri"/>
          <w:sz w:val="22"/>
        </w:rPr>
        <w:t>A learner receives two inconsistent CSV files. They create a package with normalize_record(), a CLI, tests for missing identifiers and duplicate rows, a README with exact setup commands, and a dependency record. A peer clones the repository into an empty directory and runs the test command. A successful run is evidence; 'it worked on my machine' is not.</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`labs/B/B01/scenario.json`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Complete the record-normalization repository, run the tests, create a clean reproduction log, and write a one-page dependency/provenance note.</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is a virtual environment not a supply-chain control?</w:t>
      </w:r>
    </w:p>
    <w:p>
      <w:pPr>
        <w:pStyle w:val="ListNumber"/>
      </w:pPr>
      <w:r>
        <w:t>What evidence distinguishes a reproducible build from a successful local run?</w:t>
      </w:r>
    </w:p>
    <w:p>
      <w:pPr>
        <w:pStyle w:val="ListNumber"/>
      </w:pPr>
      <w:r>
        <w:t>Which file types should never be committed?</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If setup fails, compare interpreter version, working directory, environment variables, and dependency constraints in that order. Rebuild from a clean directory; do not repair the evidence by editing the reproduction log.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https://docs.python.org/3/</w:t>
      </w:r>
    </w:p>
    <w:p>
      <w:pPr>
        <w:pStyle w:val="ListBullet"/>
      </w:pPr>
      <w:r>
        <w:t>https://git-scm.com/docs</w:t>
      </w:r>
    </w:p>
    <w:p>
      <w:pPr>
        <w:pStyle w:val="ListBullet"/>
      </w:pPr>
      <w:r>
        <w:t>https://csrc.nist.gov/pubs/sp/800/218/final</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B02 | HTTP, JSON, APIs, secrets, and failure handling</w:t>
      </w:r>
    </w:p>
    <w:p>
      <w:pPr>
        <w:spacing w:after="40"/>
      </w:pPr>
      <w:r>
        <w:rPr>
          <w:color w:val="464646"/>
          <w:sz w:val="18"/>
        </w:rPr>
        <w:t>Control field | Value</w:t>
      </w:r>
    </w:p>
    <w:p>
      <w:pPr>
        <w:spacing w:after="40"/>
      </w:pPr>
      <w:r>
        <w:rPr>
          <w:color w:val="464646"/>
          <w:sz w:val="18"/>
        </w:rPr>
        <w:t>Artifact ID | LRN-B02-001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8 hours (instruction, guided practice, independent lab, and evidence review)</w:t>
      </w:r>
    </w:p>
    <w:p>
      <w:pPr>
        <w:pStyle w:val="ListBullet"/>
      </w:pPr>
      <w:r>
        <w:t>Curriculum task hypothesis: TASK-B002 -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Interpret request/response behavior and status codes.</w:t>
      </w:r>
    </w:p>
    <w:p>
      <w:pPr>
        <w:pStyle w:val="ListNumber"/>
      </w:pPr>
      <w:r>
        <w:t>Implement bounded retry and timeout decisions.</w:t>
      </w:r>
    </w:p>
    <w:p>
      <w:pPr>
        <w:pStyle w:val="ListNumber"/>
      </w:pPr>
      <w:r>
        <w:t>Keep credentials and protected bodies out of logs.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An API client is a reliability and security boundary. A request needs a method, endpoint, headers, payload, timeout, and request identifier. Responses have transport success, protocol status, and application semantics; a 200 response can still contain invalid JSON or an invalid business object. Retry only transient failures, respect Retry-After, add jitter to avoid synchronized retries, cap attempts and total time, and never retry a non-idempotent action without an idempotency design. Secrets enter through an approved runtime mechanism and must never be returned in exceptions or telemetry.</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Classify errors as retryable, non-retryable, or indeterminate.</w:t>
      </w:r>
    </w:p>
    <w:p>
      <w:pPr>
        <w:pStyle w:val="ListBullet"/>
      </w:pPr>
      <w:r>
        <w:t>Set timeout, attempt, and total-time budgets.</w:t>
      </w:r>
    </w:p>
    <w:p>
      <w:pPr>
        <w:pStyle w:val="ListBullet"/>
      </w:pPr>
      <w:r>
        <w:t>Choose a structured error that helps operations without exposing the request body.</w:t>
      </w:r>
    </w:p>
    <w:p>
      <w:pPr>
        <w:pStyle w:val="Heading2"/>
      </w:pPr>
      <w:r>
        <w:t>Worked example</w:t>
      </w:r>
    </w:p>
    <w:p>
      <w:r>
        <w:rPr>
          <w:rFonts w:ascii="Calibri" w:hAnsi="Calibri"/>
          <w:sz w:val="22"/>
        </w:rPr>
        <w:t>A mock service returns 429, 503, malformed JSON, and 401 in sequence. The client retries the first two within a three-attempt budget, rejects malformed JSON as a contract error, and stops immediately on 401. Logs contain request ID, outcome class, attempt, and elapsed time—not tokens or bodies.</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`labs/B/B02/scenario.json`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Implement the resilient mock client and use the supplied fault script to prove bounded retries, immediate authentication failure, safe JSON rejection, and redacted telemetry.</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can an HTTP 200 still be a failure?</w:t>
      </w:r>
    </w:p>
    <w:p>
      <w:pPr>
        <w:pStyle w:val="ListNumber"/>
      </w:pPr>
      <w:r>
        <w:t>When is retry unsafe?</w:t>
      </w:r>
    </w:p>
    <w:p>
      <w:pPr>
        <w:pStyle w:val="ListNumber"/>
      </w:pPr>
      <w:r>
        <w:t>What minimum fields belong in a safe client log?</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Use the deterministic fault sequence. If a test hangs, inspect the total-time budget and sleep abstraction. Replace real waits with the injected fake clock.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https://www.rfc-editor.org/rfc/rfc9110</w:t>
      </w:r>
    </w:p>
    <w:p>
      <w:pPr>
        <w:pStyle w:val="ListBullet"/>
      </w:pPr>
      <w:r>
        <w:t>https://owasp.org/API-Security/</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B03 | Provider-neutral generation APIs</w:t>
      </w:r>
    </w:p>
    <w:p>
      <w:pPr>
        <w:spacing w:after="40"/>
      </w:pPr>
      <w:r>
        <w:rPr>
          <w:color w:val="464646"/>
          <w:sz w:val="18"/>
        </w:rPr>
        <w:t>Control field | Value</w:t>
      </w:r>
    </w:p>
    <w:p>
      <w:pPr>
        <w:spacing w:after="40"/>
      </w:pPr>
      <w:r>
        <w:rPr>
          <w:color w:val="464646"/>
          <w:sz w:val="18"/>
        </w:rPr>
        <w:t>Artifact ID | LRN-B03-001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8 hours (instruction, guided practice, independent lab, and evidence review)</w:t>
      </w:r>
    </w:p>
    <w:p>
      <w:pPr>
        <w:pStyle w:val="ListBullet"/>
      </w:pPr>
      <w:r>
        <w:t>Curriculum task hypothesis: TASK-B003 -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Define a minimal provider-neutral contract.</w:t>
      </w:r>
    </w:p>
    <w:p>
      <w:pPr>
        <w:pStyle w:val="ListNumber"/>
      </w:pPr>
      <w:r>
        <w:t>Normalize response, usage, refusal, and error evidence.</w:t>
      </w:r>
    </w:p>
    <w:p>
      <w:pPr>
        <w:pStyle w:val="ListNumber"/>
      </w:pPr>
      <w:r>
        <w:t>Document feature gaps and migration risk.</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Provider neutrality is deliberate containment, not the fiction that every model has identical behavior. Define the smallest application contract—messages or input, constraints, response text or object, request ID, usage, finish state, and structured error. Keep provider-specific translation inside adapters. Capability discovery, snapshot/model selection, streaming events, structured output, refusal semantics, and tool calls must be represented explicitly where the application depends on them. A migration record names the old and new behavior, evaluation set, acceptance rule, and rollback path.</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Select the stable application contract.</w:t>
      </w:r>
    </w:p>
    <w:p>
      <w:pPr>
        <w:pStyle w:val="ListBullet"/>
      </w:pPr>
      <w:r>
        <w:t>Expose or hide a provider feature gap.</w:t>
      </w:r>
    </w:p>
    <w:p>
      <w:pPr>
        <w:pStyle w:val="ListBullet"/>
      </w:pPr>
      <w:r>
        <w:t>Choose when to pin a model snapshot and what change triggers reevaluation.</w:t>
      </w:r>
    </w:p>
    <w:p>
      <w:pPr>
        <w:pStyle w:val="Heading2"/>
      </w:pPr>
      <w:r>
        <w:t>Worked example</w:t>
      </w:r>
    </w:p>
    <w:p>
      <w:r>
        <w:rPr>
          <w:rFonts w:ascii="Calibri" w:hAnsi="Calibri"/>
          <w:sz w:val="22"/>
        </w:rPr>
        <w:t>Two mock adapters return different field names and refusal indicators. The common interface normalizes both into GenerationResult. The application never branches on provider name; it branches on declared capabilities. Contract tests require request identifiers, bounded timeouts, and explicit refusal handling.</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`labs/B/B03/scenario.json`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Finish two mock adapters, execute common contract tests, compare their capability manifests, and issue a migration note for one simulated behavior change.</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What does provider-neutral not mean?</w:t>
      </w:r>
    </w:p>
    <w:p>
      <w:pPr>
        <w:pStyle w:val="ListNumber"/>
      </w:pPr>
      <w:r>
        <w:t>Which response fields are operational evidence?</w:t>
      </w:r>
    </w:p>
    <w:p>
      <w:pPr>
        <w:pStyle w:val="ListNumber"/>
      </w:pPr>
      <w:r>
        <w:t>What must be re-evaluated after a model change?</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Start with a single adapter and pass the common contract. Add the second only after the contract is stable. If a feature cannot be represented honestly, declare the gap instead of silently degrading it.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https://platform.openai.com/docs/api-reference/responses</w:t>
      </w:r>
    </w:p>
    <w:p>
      <w:pPr>
        <w:pStyle w:val="ListBullet"/>
      </w:pPr>
      <w:r>
        <w:t>https://docs.anthropic.com/en/api/messages</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B04 | Data engineering for AI applications</w:t>
      </w:r>
    </w:p>
    <w:p>
      <w:pPr>
        <w:spacing w:after="40"/>
      </w:pPr>
      <w:r>
        <w:rPr>
          <w:color w:val="464646"/>
          <w:sz w:val="18"/>
        </w:rPr>
        <w:t>Control field | Value</w:t>
      </w:r>
    </w:p>
    <w:p>
      <w:pPr>
        <w:spacing w:after="40"/>
      </w:pPr>
      <w:r>
        <w:rPr>
          <w:color w:val="464646"/>
          <w:sz w:val="18"/>
        </w:rPr>
        <w:t>Artifact ID | LRN-B04-001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9 hours (instruction, guided practice, independent lab, and evidence review)</w:t>
      </w:r>
    </w:p>
    <w:p>
      <w:pPr>
        <w:pStyle w:val="ListBullet"/>
      </w:pPr>
      <w:r>
        <w:t>Curriculum task hypothesis: TASK-B004 -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Validate mixed-format inputs against explicit schemas.</w:t>
      </w:r>
    </w:p>
    <w:p>
      <w:pPr>
        <w:pStyle w:val="ListNumber"/>
      </w:pPr>
      <w:r>
        <w:t>Preserve provenance, permission, and deletion state.</w:t>
      </w:r>
    </w:p>
    <w:p>
      <w:pPr>
        <w:pStyle w:val="ListNumber"/>
      </w:pPr>
      <w:r>
        <w:t>Separate training, tuning, and evaluation records.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Data accessibility is not authorization. An ingestion pipeline should carry a record identifier, source identifier, owner, authorized purpose, access label, acquisition time, transformation version, and deletion state alongside content. Validation distinguishes structural errors from policy errors. Idempotency means rerunning the same input does not duplicate or mutate records unexpectedly. Quarantine corrupt records; do not silently coerce values that change meaning. Split data before fitting transformations and preserve a manifest that lets a reviewer reconstruct every output.</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Define reject, quarantine, and repair rules.</w:t>
      </w:r>
    </w:p>
    <w:p>
      <w:pPr>
        <w:pStyle w:val="ListBullet"/>
      </w:pPr>
      <w:r>
        <w:t>Select stable identifiers before transformation.</w:t>
      </w:r>
    </w:p>
    <w:p>
      <w:pPr>
        <w:pStyle w:val="ListBullet"/>
      </w:pPr>
      <w:r>
        <w:t>Decide which metadata must survive every derived artifact.</w:t>
      </w:r>
    </w:p>
    <w:p>
      <w:pPr>
        <w:pStyle w:val="Heading2"/>
      </w:pPr>
      <w:r>
        <w:t>Worked example</w:t>
      </w:r>
    </w:p>
    <w:p>
      <w:r>
        <w:rPr>
          <w:rFonts w:ascii="Calibri" w:hAnsi="Calibri"/>
          <w:sz w:val="22"/>
        </w:rPr>
        <w:t>A synthetic intake combines CSV and JSONL. The pipeline rejects invalid dates, quarantines missing owner fields, deduplicates on a stable case ID, and produces a lineage manifest with input hashes. Reprocessing yields byte-equivalent normalized output.</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`labs/B/B04/scenario.json`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Build the mixed-format ingestion pipeline, detect seeded corruptions, produce normalized JSONL and a lineage manifest, then prove idempotency with two runs.</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is technical access not permission?</w:t>
      </w:r>
    </w:p>
    <w:p>
      <w:pPr>
        <w:pStyle w:val="ListNumber"/>
      </w:pPr>
      <w:r>
        <w:t>What makes a transformation reproducible?</w:t>
      </w:r>
    </w:p>
    <w:p>
      <w:pPr>
        <w:pStyle w:val="ListNumber"/>
      </w:pPr>
      <w:r>
        <w:t>When should a record be quarantined rather than repaired?</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Inspect the validation report before changing code. Repair one error class at a time and keep rejected source rows unchanged for comparison.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https://airc.nist.gov/airmf-resources/airmf/</w:t>
      </w:r>
    </w:p>
    <w:p>
      <w:pPr>
        <w:pStyle w:val="ListBullet"/>
      </w:pPr>
      <w:r>
        <w:t>https://www.rfc-editor.org/rfc/rfc4180</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B05 | Software quality, testing, and safe telemetry</w:t>
      </w:r>
    </w:p>
    <w:p>
      <w:pPr>
        <w:spacing w:after="40"/>
      </w:pPr>
      <w:r>
        <w:rPr>
          <w:color w:val="464646"/>
          <w:sz w:val="18"/>
        </w:rPr>
        <w:t>Control field | Value</w:t>
      </w:r>
    </w:p>
    <w:p>
      <w:pPr>
        <w:spacing w:after="40"/>
      </w:pPr>
      <w:r>
        <w:rPr>
          <w:color w:val="464646"/>
          <w:sz w:val="18"/>
        </w:rPr>
        <w:t>Artifact ID | LRN-B05-001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9 hours (instruction, guided practice, independent lab, and evidence review)</w:t>
      </w:r>
    </w:p>
    <w:p>
      <w:pPr>
        <w:pStyle w:val="ListBullet"/>
      </w:pPr>
      <w:r>
        <w:t>Curriculum task hypothesis: TASK-B005 -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Choose unit, integration, and contract tests.</w:t>
      </w:r>
    </w:p>
    <w:p>
      <w:pPr>
        <w:pStyle w:val="ListNumber"/>
      </w:pPr>
      <w:r>
        <w:t>Create CI-quality gates for behavior and controls.</w:t>
      </w:r>
    </w:p>
    <w:p>
      <w:pPr>
        <w:pStyle w:val="ListNumber"/>
      </w:pPr>
      <w:r>
        <w:t>Apply an allowlist to telemetry and test redaction.</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AI behavior does not excuse weak software engineering. Unit tests isolate deterministic logic; contract tests freeze interfaces; integration tests verify component interaction; end-to-end tests cover critical user paths; adversarial tests exercise abuse and failure. Telemetry should begin with an allowlist of operational metadata. Redaction after capture is weaker because sensitive content has already entered the logging system. Record event type, request ID, component, timing, result class, and approved derived measures. Full prompts and responses require a documented purpose, access control, retention period, and deletion route.</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Place each failure at the cheapest test layer that can detect it.</w:t>
      </w:r>
    </w:p>
    <w:p>
      <w:pPr>
        <w:pStyle w:val="ListBullet"/>
      </w:pPr>
      <w:r>
        <w:t>Define CI gates that cannot be waived by the code author alone.</w:t>
      </w:r>
    </w:p>
    <w:p>
      <w:pPr>
        <w:pStyle w:val="ListBullet"/>
      </w:pPr>
      <w:r>
        <w:t>Select telemetry fields from an allowlist rather than a denylist.</w:t>
      </w:r>
    </w:p>
    <w:p>
      <w:pPr>
        <w:pStyle w:val="Heading2"/>
      </w:pPr>
      <w:r>
        <w:t>Worked example</w:t>
      </w:r>
    </w:p>
    <w:p>
      <w:r>
        <w:rPr>
          <w:rFonts w:ascii="Calibri" w:hAnsi="Calibri"/>
          <w:sz w:val="22"/>
        </w:rPr>
        <w:t>A request object contains name, email, token, and task category. The safe logger emits only request ID, task category, status, and latency. Tests seed multiple secret formats and require none to appear in captured output.</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`labs/B/B05/scenario.json`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Implement the safe event logger, add unit and privacy tests, and produce a CI gate report for normal, malformed, and prohibited inputs.</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is post-capture redaction weaker?</w:t>
      </w:r>
    </w:p>
    <w:p>
      <w:pPr>
        <w:pStyle w:val="ListNumber"/>
      </w:pPr>
      <w:r>
        <w:t>What belongs in a contract test?</w:t>
      </w:r>
    </w:p>
    <w:p>
      <w:pPr>
        <w:pStyle w:val="ListNumber"/>
      </w:pPr>
      <w:r>
        <w:t>Which evidence should a CI gate preserve?</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When a privacy test fails, treat the captured log as sensitive lab evidence, clear the local test output, identify the entry point, and tighten the allowlist. Do not expand the denylist as the primary fix.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https://csrc.nist.gov/pubs/sp/800/218/final</w:t>
      </w:r>
    </w:p>
    <w:p>
      <w:pPr>
        <w:pStyle w:val="ListBullet"/>
      </w:pPr>
      <w:r>
        <w:t>https://www.cisa.gov/securebydesign</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B06 | Structured outputs and bounded tools</w:t>
      </w:r>
    </w:p>
    <w:p>
      <w:pPr>
        <w:spacing w:after="40"/>
      </w:pPr>
      <w:r>
        <w:rPr>
          <w:color w:val="464646"/>
          <w:sz w:val="18"/>
        </w:rPr>
        <w:t>Control field | Value</w:t>
      </w:r>
    </w:p>
    <w:p>
      <w:pPr>
        <w:spacing w:after="40"/>
      </w:pPr>
      <w:r>
        <w:rPr>
          <w:color w:val="464646"/>
          <w:sz w:val="18"/>
        </w:rPr>
        <w:t>Artifact ID | LRN-B06-001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8 hours (instruction, guided practice, independent lab, and evidence review)</w:t>
      </w:r>
    </w:p>
    <w:p>
      <w:pPr>
        <w:pStyle w:val="ListBullet"/>
      </w:pPr>
      <w:r>
        <w:t>Curriculum task hypothesis: TASK-B006 -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Validate structured outputs independently of the model.</w:t>
      </w:r>
    </w:p>
    <w:p>
      <w:pPr>
        <w:pStyle w:val="ListNumber"/>
      </w:pPr>
      <w:r>
        <w:t>Implement typed read-only tool interfaces.</w:t>
      </w:r>
    </w:p>
    <w:p>
      <w:pPr>
        <w:pStyle w:val="ListNumber"/>
      </w:pPr>
      <w:r>
        <w:t>Reject unauthorized or malformed tool arguments.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 model proposes; application code disposes. JSON or function syntax is not proof that the result is valid. The application validates required fields, types, enumerations, ranges, identifiers, and cross-field rules. Tool exposure begins with a narrow allowlist and read-only behavior. The authorization decision uses the authenticated principal and server-side policy, never a role asserted in prompt text. Validate tool arguments before execution and validate tool results before returning them to the model. Errors should be explicit and should not broaden permissions.</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Define the schema and semantic rules before prompting.</w:t>
      </w:r>
    </w:p>
    <w:p>
      <w:pPr>
        <w:pStyle w:val="ListBullet"/>
      </w:pPr>
      <w:r>
        <w:t>Choose the smallest tool surface that completes the task.</w:t>
      </w:r>
    </w:p>
    <w:p>
      <w:pPr>
        <w:pStyle w:val="ListBullet"/>
      </w:pPr>
      <w:r>
        <w:t>Fail closed when identity, authorization, or validation is indeterminate.</w:t>
      </w:r>
    </w:p>
    <w:p>
      <w:pPr>
        <w:pStyle w:val="Heading2"/>
      </w:pPr>
      <w:r>
        <w:t>Worked example</w:t>
      </w:r>
    </w:p>
    <w:p>
      <w:r>
        <w:rPr>
          <w:rFonts w:ascii="Calibri" w:hAnsi="Calibri"/>
          <w:sz w:val="22"/>
        </w:rPr>
        <w:t>A classifier may return category and confidence and may query two synthetic lookup tools. Attempts to request an unlisted tool, use an unknown identifier, or set confidence above 1.0 are rejected before any execution.</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`labs/B/B06/scenario.json`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Complete schema validation and a two-tool dispatcher; use the adversarial cases to prove unknown tools, extra arguments, and cross-user identifiers cannot execute.</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Where must authorization be enforced?</w:t>
      </w:r>
    </w:p>
    <w:p>
      <w:pPr>
        <w:pStyle w:val="ListNumber"/>
      </w:pPr>
      <w:r>
        <w:t>What is the difference between syntactic and semantic validation?</w:t>
      </w:r>
    </w:p>
    <w:p>
      <w:pPr>
        <w:pStyle w:val="ListNumber"/>
      </w:pPr>
      <w:r>
        <w:t>Why are read-only defaults valuable?</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Reduce the object to one field at a time. Validate structure, then business rules, then authorization. Keep each error distinct so the learner can diagnose the failed boundary.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https://json-schema.org/specification</w:t>
      </w:r>
    </w:p>
    <w:p>
      <w:pPr>
        <w:pStyle w:val="ListBullet"/>
      </w:pPr>
      <w:r>
        <w:t>https://genai.owasp.org/</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B07 | Retrieval baseline from first principles</w:t>
      </w:r>
    </w:p>
    <w:p>
      <w:pPr>
        <w:spacing w:after="40"/>
      </w:pPr>
      <w:r>
        <w:rPr>
          <w:color w:val="464646"/>
          <w:sz w:val="18"/>
        </w:rPr>
        <w:t>Control field | Value</w:t>
      </w:r>
    </w:p>
    <w:p>
      <w:pPr>
        <w:spacing w:after="40"/>
      </w:pPr>
      <w:r>
        <w:rPr>
          <w:color w:val="464646"/>
          <w:sz w:val="18"/>
        </w:rPr>
        <w:t>Artifact ID | LRN-B07-001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9 hours (instruction, guided practice, independent lab, and evidence review)</w:t>
      </w:r>
    </w:p>
    <w:p>
      <w:pPr>
        <w:pStyle w:val="ListBullet"/>
      </w:pPr>
      <w:r>
        <w:t>Curriculum task hypothesis: TASK-B007 -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Chunk content with stable source identifiers.</w:t>
      </w:r>
    </w:p>
    <w:p>
      <w:pPr>
        <w:pStyle w:val="ListNumber"/>
      </w:pPr>
      <w:r>
        <w:t>Implement transparent lexical and vector-like baselines.</w:t>
      </w:r>
    </w:p>
    <w:p>
      <w:pPr>
        <w:pStyle w:val="ListNumber"/>
      </w:pPr>
      <w:r>
        <w:t>Measure retrieval separately from answer generation.</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Retrieval quality asks whether the system found the needed evidence; answer quality asks whether generation used it correctly. Mixing them hides root causes. Begin with structure-aware chunks that preserve document, section, access label, version, and span. A lexical score is explainable and strong for exact terms; an embedding score may capture semantic similarity but introduces model and version dependencies. Evaluate with query-to-relevant-chunk judgments, recall@k, precision@k, and failure classes. Do not add generation until retrieval evidence is visible.</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Choose chunk boundaries that preserve meaning and provenance.</w:t>
      </w:r>
    </w:p>
    <w:p>
      <w:pPr>
        <w:pStyle w:val="ListBullet"/>
      </w:pPr>
      <w:r>
        <w:t>Select k based on context budget and recall evidence.</w:t>
      </w:r>
    </w:p>
    <w:p>
      <w:pPr>
        <w:pStyle w:val="ListBullet"/>
      </w:pPr>
      <w:r>
        <w:t>Classify a miss as corpus, chunking, indexing, query, or ranking failure.</w:t>
      </w:r>
    </w:p>
    <w:p>
      <w:pPr>
        <w:pStyle w:val="Heading2"/>
      </w:pPr>
      <w:r>
        <w:t>Worked example</w:t>
      </w:r>
    </w:p>
    <w:p>
      <w:r>
        <w:rPr>
          <w:rFonts w:ascii="Calibri" w:hAnsi="Calibri"/>
          <w:sz w:val="22"/>
        </w:rPr>
        <w:t>A six-document synthetic policy corpus includes exact acronyms and paraphrases. The learner creates stable chunks, evaluates keyword overlap, and compares results against 30 judgments. Misses are labeled rather than averaged away.</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`labs/B/B07/scenario.json`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Implement transparent token-overlap search, evaluate the supplied judgments, and recommend one chunking or ranking change based on error evidence.</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separate retrieval from answer quality?</w:t>
      </w:r>
    </w:p>
    <w:p>
      <w:pPr>
        <w:pStyle w:val="ListNumber"/>
      </w:pPr>
      <w:r>
        <w:t>What metadata must a chunk retain?</w:t>
      </w:r>
    </w:p>
    <w:p>
      <w:pPr>
        <w:pStyle w:val="ListNumber"/>
      </w:pPr>
      <w:r>
        <w:t>What does recall@k fail to tell you?</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Print scores for one failing query. Confirm token normalization and chunk IDs before changing ranking. Avoid tuning to one query; rerun the full judgment set.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https://airc.nist.gov/Docs/Generative_AI_Profile.pdf</w:t>
      </w:r>
    </w:p>
    <w:p>
      <w:pPr>
        <w:pStyle w:val="ListBullet"/>
      </w:pPr>
      <w:r>
        <w:t>https://lucene.apache.org/core/</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B08 | Production RAG: authorization, hybrid search, and grounding</w:t>
      </w:r>
    </w:p>
    <w:p>
      <w:pPr>
        <w:spacing w:after="40"/>
      </w:pPr>
      <w:r>
        <w:rPr>
          <w:color w:val="464646"/>
          <w:sz w:val="18"/>
        </w:rPr>
        <w:t>Control field | Value</w:t>
      </w:r>
    </w:p>
    <w:p>
      <w:pPr>
        <w:spacing w:after="40"/>
      </w:pPr>
      <w:r>
        <w:rPr>
          <w:color w:val="464646"/>
          <w:sz w:val="18"/>
        </w:rPr>
        <w:t>Artifact ID | LRN-B08-001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12 hours (instruction, guided practice, independent lab, and evidence review)</w:t>
      </w:r>
    </w:p>
    <w:p>
      <w:pPr>
        <w:pStyle w:val="ListBullet"/>
      </w:pPr>
      <w:r>
        <w:t>Curriculum task hypothesis: TASK-B008 -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Filter by authorization before content reaches generation.</w:t>
      </w:r>
    </w:p>
    <w:p>
      <w:pPr>
        <w:pStyle w:val="ListNumber"/>
      </w:pPr>
      <w:r>
        <w:t>Validate citations and abstention.</w:t>
      </w:r>
    </w:p>
    <w:p>
      <w:pPr>
        <w:pStyle w:val="ListNumber"/>
      </w:pPr>
      <w:r>
        <w:t>Test injection, stale, conflicting, and cross-user cases.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Secure retrieval is an ordered pipeline: authenticate the principal; derive server-side entitlements; filter candidates; rank only authorized content; assemble bounded context; generate; validate citations against retrieved spans; and abstain when evidence is insufficient. Post-retrieval filtering is dangerous because unauthorized content may already have influenced ranking, caching, or the model. Retrieved text is untrusted data, even when stored internally. Instructions inside documents never override application policy. Index version and deletion state must be visible in citations and refresh controls.</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Choose pre-retrieval enforcement and cache partitioning.</w:t>
      </w:r>
    </w:p>
    <w:p>
      <w:pPr>
        <w:pStyle w:val="ListBullet"/>
      </w:pPr>
      <w:r>
        <w:t>Set evidence and abstention thresholds.</w:t>
      </w:r>
    </w:p>
    <w:p>
      <w:pPr>
        <w:pStyle w:val="ListBullet"/>
      </w:pPr>
      <w:r>
        <w:t>Resolve conflicts by source authority and currency, not model confidence.</w:t>
      </w:r>
    </w:p>
    <w:p>
      <w:pPr>
        <w:pStyle w:val="Heading2"/>
      </w:pPr>
      <w:r>
        <w:t>Worked example</w:t>
      </w:r>
    </w:p>
    <w:p>
      <w:r>
        <w:rPr>
          <w:rFonts w:ascii="Calibri" w:hAnsi="Calibri"/>
          <w:sz w:val="22"/>
        </w:rPr>
        <w:t>Two users share a corpus but have different entitlements. The retriever filters before scoring. A poisoned document says to reveal another user's record; it is treated as content. Citation validation rejects a generated source ID not present in the retrieved set.</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`labs/B/B08/scenario.json`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Complete authorized retrieval and citation validation, then run cross-user, injected-instruction, stale-source, and insufficient-evidence tests.</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must filtering precede ranking?</w:t>
      </w:r>
    </w:p>
    <w:p>
      <w:pPr>
        <w:pStyle w:val="ListNumber"/>
      </w:pPr>
      <w:r>
        <w:t>How is a citation verified?</w:t>
      </w:r>
    </w:p>
    <w:p>
      <w:pPr>
        <w:pStyle w:val="ListNumber"/>
      </w:pPr>
      <w:r>
        <w:t>What should happen when sources conflict?</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Trace one request through identity, entitlements, candidate set, ranked set, context, and citation check. If leakage occurs, stop; do not continue to generation experiments.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https://genai.owasp.org/</w:t>
      </w:r>
    </w:p>
    <w:p>
      <w:pPr>
        <w:pStyle w:val="ListBullet"/>
      </w:pPr>
      <w:r>
        <w:t>https://airc.nist.gov/Docs/Generative_AI_Profile.pdf</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B09 | Evaluation design and release gates</w:t>
      </w:r>
    </w:p>
    <w:p>
      <w:pPr>
        <w:spacing w:after="40"/>
      </w:pPr>
      <w:r>
        <w:rPr>
          <w:color w:val="464646"/>
          <w:sz w:val="18"/>
        </w:rPr>
        <w:t>Control field | Value</w:t>
      </w:r>
    </w:p>
    <w:p>
      <w:pPr>
        <w:spacing w:after="40"/>
      </w:pPr>
      <w:r>
        <w:rPr>
          <w:color w:val="464646"/>
          <w:sz w:val="18"/>
        </w:rPr>
        <w:t>Artifact ID | LRN-B09-001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10 hours (instruction, guided practice, independent lab, and evidence review)</w:t>
      </w:r>
    </w:p>
    <w:p>
      <w:pPr>
        <w:pStyle w:val="ListBullet"/>
      </w:pPr>
      <w:r>
        <w:t>Curriculum task hypothesis: TASK-B009 -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Design representative and adversarial cases.</w:t>
      </w:r>
    </w:p>
    <w:p>
      <w:pPr>
        <w:pStyle w:val="ListNumber"/>
      </w:pPr>
      <w:r>
        <w:t>Combine deterministic, human, and calibrated automated grading.</w:t>
      </w:r>
    </w:p>
    <w:p>
      <w:pPr>
        <w:pStyle w:val="ListNumber"/>
      </w:pPr>
      <w:r>
        <w:t>Predeclare release and rollback thresholds.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An evaluation suite is a decision instrument, not a demo collection. Begin with intended use, affected users, unacceptable outcomes, and likely changes. Sample routine, boundary, adversarial, abstention, and regression cases. Record case provenance and authorization. Deterministic graders work for exact structure and citations; qualified humans judge nuance; model-assisted graders can scale triage but must be calibrated against human judgments and cannot alone pass a critical gate. Report slices and confidence limits; averages cannot compensate for a critical authorization failure.</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Tie every case to a risk or requirement.</w:t>
      </w:r>
    </w:p>
    <w:p>
      <w:pPr>
        <w:pStyle w:val="ListBullet"/>
      </w:pPr>
      <w:r>
        <w:t>Predeclare critical failures and acceptable uncertainty.</w:t>
      </w:r>
    </w:p>
    <w:p>
      <w:pPr>
        <w:pStyle w:val="ListBullet"/>
      </w:pPr>
      <w:r>
        <w:t>Decide which disagreements require adjudication.</w:t>
      </w:r>
    </w:p>
    <w:p>
      <w:pPr>
        <w:pStyle w:val="Heading2"/>
      </w:pPr>
      <w:r>
        <w:t>Worked example</w:t>
      </w:r>
    </w:p>
    <w:p>
      <w:r>
        <w:rPr>
          <w:rFonts w:ascii="Calibri" w:hAnsi="Calibri"/>
          <w:sz w:val="22"/>
        </w:rPr>
        <w:t>A 75-case RAG suite measures authorization leakage, citation correctness, supported-answer rate, abstention, and latency. The release rule requires zero leakage, at least 90% citation correctness, and no regression greater than the predeclared tolerance on priority slices.</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`labs/B/B09/scenario.json`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Complete the supplied evaluation runner, calculate slice results, apply the release rule, and write a decision that states evidence and limitations.</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can average quality be misleading?</w:t>
      </w:r>
    </w:p>
    <w:p>
      <w:pPr>
        <w:pStyle w:val="ListNumber"/>
      </w:pPr>
      <w:r>
        <w:t>When is an automated grader appropriate?</w:t>
      </w:r>
    </w:p>
    <w:p>
      <w:pPr>
        <w:pStyle w:val="ListNumber"/>
      </w:pPr>
      <w:r>
        <w:t>What must be declared before results are seen?</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If the decision changes when one case is removed, report fragility. Add cases only through change control; do not delete failing cases to improve the score.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https://airc.nist.gov/airmf-resources/airmf/</w:t>
      </w:r>
    </w:p>
    <w:p>
      <w:pPr>
        <w:pStyle w:val="ListBullet"/>
      </w:pPr>
      <w:r>
        <w:t>https://platform.openai.com/docs/guides/evals</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B10 | Agents and tool use under control</w:t>
      </w:r>
    </w:p>
    <w:p>
      <w:pPr>
        <w:spacing w:after="40"/>
      </w:pPr>
      <w:r>
        <w:rPr>
          <w:color w:val="464646"/>
          <w:sz w:val="18"/>
        </w:rPr>
        <w:t>Control field | Value</w:t>
      </w:r>
    </w:p>
    <w:p>
      <w:pPr>
        <w:spacing w:after="40"/>
      </w:pPr>
      <w:r>
        <w:rPr>
          <w:color w:val="464646"/>
          <w:sz w:val="18"/>
        </w:rPr>
        <w:t>Artifact ID | LRN-B10-001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12 hours (instruction, guided practice, independent lab, and evidence review)</w:t>
      </w:r>
    </w:p>
    <w:p>
      <w:pPr>
        <w:pStyle w:val="ListBullet"/>
      </w:pPr>
      <w:r>
        <w:t>Curriculum task hypothesis: TASK-B010 -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Implement an explicit decide-act-observe state loop.</w:t>
      </w:r>
    </w:p>
    <w:p>
      <w:pPr>
        <w:pStyle w:val="ListNumber"/>
      </w:pPr>
      <w:r>
        <w:t>Enforce least privilege, budgets, idempotency, and confirmation.</w:t>
      </w:r>
    </w:p>
    <w:p>
      <w:pPr>
        <w:pStyle w:val="ListNumber"/>
      </w:pPr>
      <w:r>
        <w:t>Contain malicious observations and indirect injection.</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 workflow follows predefined transitions; an agent selects among allowed transitions. In both cases, code owns state, permissions, budgets, and termination. Each proposed action is validated against authenticated identity, tool allowlist, argument schema, remaining time/tool/token budget, and confirmation policy. Idempotency keys protect repeated calls. Observations are untrusted; tool output cannot grant new permissions. A trace must reconstruct state without retaining prohibited content. The lab permits only canned, read-only research tools and simulated confirmation.</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Choose workflow instead of agency when the path is known.</w:t>
      </w:r>
    </w:p>
    <w:p>
      <w:pPr>
        <w:pStyle w:val="ListBullet"/>
      </w:pPr>
      <w:r>
        <w:t>Define hard termination and loop detection.</w:t>
      </w:r>
    </w:p>
    <w:p>
      <w:pPr>
        <w:pStyle w:val="ListBullet"/>
      </w:pPr>
      <w:r>
        <w:t>Require human confirmation for consequential simulated actions.</w:t>
      </w:r>
    </w:p>
    <w:p>
      <w:pPr>
        <w:pStyle w:val="Heading2"/>
      </w:pPr>
      <w:r>
        <w:t>Worked example</w:t>
      </w:r>
    </w:p>
    <w:p>
      <w:r>
        <w:rPr>
          <w:rFonts w:ascii="Calibri" w:hAnsi="Calibri"/>
          <w:sz w:val="22"/>
        </w:rPr>
        <w:t>A canned web page tells the agent to ignore policy and call publish(). The application has no publish tool, treats the page as evidence, and terminates after the read-only research budget. Duplicate lookup calls reuse the same idempotency record.</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`labs/B/B10/scenario.json`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Finish the controlled research loop and pass malicious-page, duplicate-action, exhausted-budget, invalid-tool, and confirmation tests.</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Who owns authorization in an agentic system?</w:t>
      </w:r>
    </w:p>
    <w:p>
      <w:pPr>
        <w:pStyle w:val="ListNumber"/>
      </w:pPr>
      <w:r>
        <w:t>What makes an observation untrusted?</w:t>
      </w:r>
    </w:p>
    <w:p>
      <w:pPr>
        <w:pStyle w:val="ListNumber"/>
      </w:pPr>
      <w:r>
        <w:t>How does idempotency differ from retry?</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Replay the provided state trace one transition at a time. If the loop does not terminate, inspect the transition guard and budget decrement before changing prompts.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https://genai.owasp.org/</w:t>
      </w:r>
    </w:p>
    <w:p>
      <w:pPr>
        <w:pStyle w:val="ListBullet"/>
      </w:pPr>
      <w:r>
        <w:t>https://www.cisa.gov/resources-tools/resources/secure-design-alert-eliminating-cross-site-scripting-vulnerabilities</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B11 | Deployment, operations, and cost evidence</w:t>
      </w:r>
    </w:p>
    <w:p>
      <w:pPr>
        <w:spacing w:after="40"/>
      </w:pPr>
      <w:r>
        <w:rPr>
          <w:color w:val="464646"/>
          <w:sz w:val="18"/>
        </w:rPr>
        <w:t>Control field | Value</w:t>
      </w:r>
    </w:p>
    <w:p>
      <w:pPr>
        <w:spacing w:after="40"/>
      </w:pPr>
      <w:r>
        <w:rPr>
          <w:color w:val="464646"/>
          <w:sz w:val="18"/>
        </w:rPr>
        <w:t>Artifact ID | LRN-B11-001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9 hours (instruction, guided practice, independent lab, and evidence review)</w:t>
      </w:r>
    </w:p>
    <w:p>
      <w:pPr>
        <w:pStyle w:val="ListBullet"/>
      </w:pPr>
      <w:r>
        <w:t>Curriculum task hypothesis: TASK-B011 -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Package configuration separately from code.</w:t>
      </w:r>
    </w:p>
    <w:p>
      <w:pPr>
        <w:pStyle w:val="ListNumber"/>
      </w:pPr>
      <w:r>
        <w:t>Implement health, readiness, rollback, and rate controls.</w:t>
      </w:r>
    </w:p>
    <w:p>
      <w:pPr>
        <w:pStyle w:val="ListNumber"/>
      </w:pPr>
      <w:r>
        <w:t>Measure latency and resource consumption without purchasing services.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Deployment evidence connects a versioned artifact to a versioned configuration and an observed environment. A liveness check says the process is running; readiness says it can serve safely. Releases should be staged, observed against predeclared signals, and reversible. A rollback record identifies trigger, authority, artifact version, data compatibility, execution time, and verification. Resource estimates use synthetic measurements and published assumptions; the lab performs no procurement or production deployment.</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Separate liveness from readiness.</w:t>
      </w:r>
    </w:p>
    <w:p>
      <w:pPr>
        <w:pStyle w:val="ListBullet"/>
      </w:pPr>
      <w:r>
        <w:t>Define rollback triggers before release.</w:t>
      </w:r>
    </w:p>
    <w:p>
      <w:pPr>
        <w:pStyle w:val="ListBullet"/>
      </w:pPr>
      <w:r>
        <w:t>Choose signals that expose user harm as well as system health.</w:t>
      </w:r>
    </w:p>
    <w:p>
      <w:pPr>
        <w:pStyle w:val="Heading2"/>
      </w:pPr>
      <w:r>
        <w:t>Worked example</w:t>
      </w:r>
    </w:p>
    <w:p>
      <w:r>
        <w:rPr>
          <w:rFonts w:ascii="Calibri" w:hAnsi="Calibri"/>
          <w:sz w:val="22"/>
        </w:rPr>
        <w:t>Release v2 fails its readiness check after a configuration change. The controller rejects promotion, restores v1, and records recovery time. Image/config scans verify that no sample secret is embedded.</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`labs/B/B11/scenario.json`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Complete the release-state controller, run load samples, force a failed release, restore the previous version, and issue an operations evidence report.</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can liveness be green while the service is unsafe?</w:t>
      </w:r>
    </w:p>
    <w:p>
      <w:pPr>
        <w:pStyle w:val="ListNumber"/>
      </w:pPr>
      <w:r>
        <w:t>What evidence proves rollback?</w:t>
      </w:r>
    </w:p>
    <w:p>
      <w:pPr>
        <w:pStyle w:val="ListNumber"/>
      </w:pPr>
      <w:r>
        <w:t>Why is an estimate not a purchase authorization?</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Use the local simulator; do not connect to a cloud account. If readiness cannot be restored, reset from the provided version manifest and preserve the failed-state log.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https://csrc.nist.gov/pubs/sp/800/218/final</w:t>
      </w:r>
    </w:p>
    <w:p>
      <w:pPr>
        <w:pStyle w:val="ListBullet"/>
      </w:pPr>
      <w:r>
        <w:t>https://docs.docker.com/build/building/best-practices/</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B12 | Builder capstone and technical defense</w:t>
      </w:r>
    </w:p>
    <w:p>
      <w:pPr>
        <w:spacing w:after="40"/>
      </w:pPr>
      <w:r>
        <w:rPr>
          <w:color w:val="464646"/>
          <w:sz w:val="18"/>
        </w:rPr>
        <w:t>Control field | Value</w:t>
      </w:r>
    </w:p>
    <w:p>
      <w:pPr>
        <w:spacing w:after="40"/>
      </w:pPr>
      <w:r>
        <w:rPr>
          <w:color w:val="464646"/>
          <w:sz w:val="18"/>
        </w:rPr>
        <w:t>Artifact ID | LRN-B12-001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B - AI Application Builder</w:t>
      </w:r>
    </w:p>
    <w:p>
      <w:pPr>
        <w:pStyle w:val="ListBullet"/>
      </w:pPr>
      <w:r>
        <w:t>Planned learning time: 40 hours (instruction, guided practice, independent lab, and evidence review)</w:t>
      </w:r>
    </w:p>
    <w:p>
      <w:pPr>
        <w:pStyle w:val="ListBullet"/>
      </w:pPr>
      <w:r>
        <w:t>Curriculum task hypothesis: TASK-B012 -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Integrate a reproducible bounded application.</w:t>
      </w:r>
    </w:p>
    <w:p>
      <w:pPr>
        <w:pStyle w:val="ListNumber"/>
      </w:pPr>
      <w:r>
        <w:t>Demonstrate safe failure and rollback.</w:t>
      </w:r>
    </w:p>
    <w:p>
      <w:pPr>
        <w:pStyle w:val="ListNumber"/>
      </w:pPr>
      <w:r>
        <w:t>Defend architecture, evidence, limits, and ownership.</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The capstone is an evidence integration exercise. The product is not only working code: it is a repository, synthetic dataset, architecture decision record, authorization model, threat model, evaluation suite, deployment/runbook, rollback demonstration, and limitation statement. Reviewers must be able to reproduce the build from a clean environment and trace a requirement through implementation and test evidence. The public demonstration remains read-only and synthetic. The practice rubric supports feedback only and is not the certification standard.</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Bound the application and prohibited actions.</w:t>
      </w:r>
    </w:p>
    <w:p>
      <w:pPr>
        <w:pStyle w:val="ListBullet"/>
      </w:pPr>
      <w:r>
        <w:t>Choose evidence that another reviewer can reproduce.</w:t>
      </w:r>
    </w:p>
    <w:p>
      <w:pPr>
        <w:pStyle w:val="ListBullet"/>
      </w:pPr>
      <w:r>
        <w:t>State residual risk and the legitimate owner for acceptance.</w:t>
      </w:r>
    </w:p>
    <w:p>
      <w:pPr>
        <w:pStyle w:val="Heading2"/>
      </w:pPr>
      <w:r>
        <w:t>Worked example</w:t>
      </w:r>
    </w:p>
    <w:p>
      <w:r>
        <w:rPr>
          <w:rFonts w:ascii="Calibri" w:hAnsi="Calibri"/>
          <w:sz w:val="22"/>
        </w:rPr>
        <w:t>The reference seed combines ingestion, authorized retrieval, structured results, evaluation, and a controlled agent. A surprise incident changes one access label; the learner detects the regression, blocks release, restores the prior manifest, and adds the incident as a test.</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`labs/B/B12/scenario.json`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Complete the capstone evidence bundle, conduct a peer clean-build rehearsal, run the incident inject, and deliver a 30-minute training defense using the practice rubric.</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What does the artifact prove?</w:t>
      </w:r>
    </w:p>
    <w:p>
      <w:pPr>
        <w:pStyle w:val="ListNumber"/>
      </w:pPr>
      <w:r>
        <w:t>What does it not prove?</w:t>
      </w:r>
    </w:p>
    <w:p>
      <w:pPr>
        <w:pStyle w:val="ListNumber"/>
      </w:pPr>
      <w:r>
        <w:t>Who may accept residual deployment risk?</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If reproduction fails, freeze new features. Repair setup, tests, or documentation; rerun from an empty directory; and keep the original failure record in the learning evidence.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https://csrc.nist.gov/pubs/sp/800/218/final</w:t>
      </w:r>
    </w:p>
    <w:p>
      <w:pPr>
        <w:pStyle w:val="ListBullet"/>
      </w:pPr>
      <w:r>
        <w:t>https://airc.nist.gov/Docs/Generative_AI_Profile.pdf</w:t>
      </w:r>
    </w:p>
    <w:p>
      <w:r>
        <w:rPr>
          <w:rFonts w:ascii="Calibri" w:hAnsi="Calibri"/>
          <w:sz w:val="22"/>
        </w:rPr>
        <w:t>Source currency must be checked before each cohort. Provider/product behavior is illustrative where mocked; resolve current interfaces only from official documentation in an authorized environment.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CUSTOMER COURSEWARE - RELEASE CANDIDATE | 0.1-rc1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5A626C"/>
        <w:sz w:val="16"/>
      </w:rPr>
      <w:t>VETSLEARN APPLIED AI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