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VetsLearn Module L — AI Program Leader — Learner Manual</w:t>
      </w:r>
    </w:p>
    <w:p>
      <w:r>
        <w:rPr>
          <w:b/>
        </w:rPr>
        <w:t>CUSTOMER COURSEWARE • RELEASE CANDIDATE • LEARNER EDITION</w:t>
      </w:r>
    </w:p>
    <w:p>
      <w:r>
        <w:t>Leadership training does not confer contracting, fiscal, legal, privacy, security, records, accessibility, or authorizing-official authority.</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CW-L1-LRN-001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6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TASK-L1;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Describe ai as a sociotechnical capability.</w:t>
      </w:r>
    </w:p>
    <w:p>
      <w:pPr>
        <w:pStyle w:val="ListNumber"/>
      </w:pPr>
      <w:r>
        <w:t>Assign accountable owners across the lifecycle.</w:t>
      </w:r>
    </w:p>
    <w:p>
      <w:pPr>
        <w:pStyle w:val="ListNumber"/>
      </w:pPr>
      <w:r>
        <w:t>Ask for evidence, failure modes, and fallback before approval.</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describe AI as a sociotechnical capability</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assign accountable owners across the lifecycle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ask for evidence, failure modes, and fallback before approval</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leader is shown a fluent demo and asked to approve enterprise rollout without representative users, a baseline, or named risk owners.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`case_pack/L1_scenario.json`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Create a capability and accountability map, then write the five questions that must be answered before a pilot decision.</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https://www.nist.gov/itl/ai-risk-management-framework</w:t>
      </w:r>
    </w:p>
    <w:p>
      <w:pPr>
        <w:pStyle w:val="ListBullet"/>
      </w:pPr>
      <w:r>
        <w:t>https://airc.nist.gov/airmf-resources/airmf/</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CW-L2-LRN-001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7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TASK-L2;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Prioritize by mission value, feasibility, consequence, and evidence readiness.</w:t>
      </w:r>
    </w:p>
    <w:p>
      <w:pPr>
        <w:pStyle w:val="ListNumber"/>
      </w:pPr>
      <w:r>
        <w:t>Compare ai and non-ai alternatives.</w:t>
      </w:r>
    </w:p>
    <w:p>
      <w:pPr>
        <w:pStyle w:val="ListNumber"/>
      </w:pPr>
      <w:r>
        <w:t>Define stop, scale, and review decisions.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prioritize by mission value, feasibility, consequence, and evidence readiness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compare AI and non-AI alternatives</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define stop, scale, and review decisions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portfolio contains twelve proposed uses competing for the same data, engineering, security, and change-management capacity.</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`case_pack/L2_scenario.json`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Score a synthetic portfolio, fund only a bounded tranche, and document two stop decisions and the evidence that could reverse them.</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https://www.nist.gov/itl/ai-risk-management-framework</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CW-L3-LRN-001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8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TASK-L3;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Design a representative comparative evaluation.</w:t>
      </w:r>
    </w:p>
    <w:p>
      <w:pPr>
        <w:pStyle w:val="ListNumber"/>
      </w:pPr>
      <w:r>
        <w:t>Control vendor influence on test conditions.</w:t>
      </w:r>
    </w:p>
    <w:p>
      <w:pPr>
        <w:pStyle w:val="ListNumber"/>
      </w:pPr>
      <w:r>
        <w:t>Interpret tradeoffs and uncertainty.</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design a representative comparative evaluation</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control vendor influence on test conditions</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interpret tradeoffs and uncertainty</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Three vendors optimize for a published demo set while customer users care about edge cases, integration, accessibility, and recovery.</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`case_pack/L3_scenario.json`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Design and run a paper-based mission bake-off plan with blinded cases, acceptance evidence, adversarial tests, and conflict controls.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https://www.nist.gov/itl/ai-risk-management-framework</w:t>
      </w:r>
    </w:p>
    <w:p>
      <w:pPr>
        <w:pStyle w:val="ListBullet"/>
      </w:pPr>
      <w:r>
        <w:t>https://www.acquisition.gov/far</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CW-L4-LRN-001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8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TASK-L4;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Write outcome-based requirements.</w:t>
      </w:r>
    </w:p>
    <w:p>
      <w:pPr>
        <w:pStyle w:val="ListNumber"/>
      </w:pPr>
      <w:r>
        <w:t>Define verification and acceptance evidence.</w:t>
      </w:r>
    </w:p>
    <w:p>
      <w:pPr>
        <w:pStyle w:val="ListNumber"/>
      </w:pPr>
      <w:r>
        <w:t>Control changes and exit conditions.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write outcome-based requirements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define verification and acceptance evidence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control changes and exit conditions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statement of work requires “best-in-class accurate AI” but has no users, baseline, thresholds, error priorities, evidence rights, or change process.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`case_pack/L4_scenario.json`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Rewrite the requirement set and produce a test/acceptance matrix for authorized acquisition review.</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https://www.acquisition.gov/far</w:t>
      </w:r>
    </w:p>
    <w:p>
      <w:pPr>
        <w:pStyle w:val="ListBullet"/>
      </w:pPr>
      <w:r>
        <w:t>https://csrc.nist.gov/pubs/sp/800/218/a/final</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CW-L5-LRN-001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8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TASK-L5;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Assign risk ownership and escalation.</w:t>
      </w:r>
    </w:p>
    <w:p>
      <w:pPr>
        <w:pStyle w:val="ListNumber"/>
      </w:pPr>
      <w:r>
        <w:t>Lead an incident without destroying evidence or bypassing authority.</w:t>
      </w:r>
    </w:p>
    <w:p>
      <w:pPr>
        <w:pStyle w:val="ListNumber"/>
      </w:pPr>
      <w:r>
        <w:t>Convert incidents into decisions and regression evidence.</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assign risk ownership and escalation</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lead an incident without destroying evidence or bypassing authority</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convert incidents into decisions and regression evidence</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deployed assistant discloses synthetic protected fields during a leadership demonstration while stakeholders argue over whether to pause.</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`case_pack/L5_scenario.json`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Lead a tabletop: contain, notify, preserve, decide, recover, communicate, and update the risk register.</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https://www.nist.gov/itl/ai-risk-management-framework</w:t>
      </w:r>
    </w:p>
    <w:p>
      <w:pPr>
        <w:pStyle w:val="ListBullet"/>
      </w:pPr>
      <w:r>
        <w:t>https://www.cisa.gov/topics/cyber-threats-and-advisories</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CW-L6-LRN-001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7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TASK-L6;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Identify lifecycle resource categories.</w:t>
      </w:r>
    </w:p>
    <w:p>
      <w:pPr>
        <w:pStyle w:val="ListNumber"/>
      </w:pPr>
      <w:r>
        <w:t>Surface assumptions and specialist decision rights.</w:t>
      </w:r>
    </w:p>
    <w:p>
      <w:pPr>
        <w:pStyle w:val="ListNumber"/>
      </w:pPr>
      <w:r>
        <w:t>Avoid universal fiscal or color-of-money claims.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identify lifecycle resource categories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surface assumptions and specialist decision rights</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avoid universal fiscal or color-of-money claims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pilot budget covers licenses and development but omits data stewardship, security, evaluation, accessibility, operations, support, exit, and remediation.</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`case_pack/L6_scenario.json`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Build a lifecycle resource estimate with assumptions and questions routed to authorized fiscal/acquisition officials.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https://www.gao.gov/green-book</w:t>
      </w:r>
    </w:p>
    <w:p>
      <w:pPr>
        <w:pStyle w:val="ListBullet"/>
      </w:pPr>
      <w:r>
        <w:t>https://www.acquisition.gov/far</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CW-L7-LRN-001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AI Program Leader.</w:t>
      </w:r>
    </w:p>
    <w:p>
      <w:pPr>
        <w:pStyle w:val="ListBullet"/>
      </w:pPr>
      <w:r>
        <w:t>Planned learning time: 8 hours across instruction, guided practice, independent case work, and evidence review.</w:t>
      </w:r>
    </w:p>
    <w:p>
      <w:pPr>
        <w:pStyle w:val="ListBullet"/>
      </w:pPr>
      <w:r>
        <w:t>Audience: Mission, program, product, acquisition-support, and portfolio leaders accountable for AI initiative decisions.</w:t>
      </w:r>
    </w:p>
    <w:p>
      <w:pPr>
        <w:pStyle w:val="ListBullet"/>
      </w:pPr>
      <w:r>
        <w:t>Provisional role relationship: TASK-L7; pending the applicable JTA or education-outcome validation.</w:t>
      </w:r>
    </w:p>
    <w:p>
      <w:pPr>
        <w:pStyle w:val="ListBullet"/>
      </w:pPr>
      <w:r>
        <w:t>Authority boundary: Leadership training does not confer contracting, fiscal, legal, privacy, security, records, accessibility, or authorizing-official authority.</w:t>
      </w:r>
    </w:p>
    <w:p>
      <w:pPr>
        <w:pStyle w:val="ListBullet"/>
      </w:pPr>
      <w:r>
        <w:t>Required evidence: completed case worksheet, decision record, formative check, and a limitation statement.</w:t>
      </w:r>
    </w:p>
    <w:p>
      <w:pPr>
        <w:pStyle w:val="Heading1"/>
      </w:pPr>
      <w:r>
        <w:t>Performance objectives</w:t>
      </w:r>
    </w:p>
    <w:p>
      <w:pPr>
        <w:pStyle w:val="ListNumber"/>
      </w:pPr>
      <w:r>
        <w:t>Design a multidisciplinary operating model.</w:t>
      </w:r>
    </w:p>
    <w:p>
      <w:pPr>
        <w:pStyle w:val="ListNumber"/>
      </w:pPr>
      <w:r>
        <w:t>Set decision forums and evidence gates.</w:t>
      </w:r>
    </w:p>
    <w:p>
      <w:pPr>
        <w:pStyle w:val="ListNumber"/>
      </w:pPr>
      <w:r>
        <w:t>Deliver a measurable 180-day plan with stop rules.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design a multidisciplinary operating model</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set decision forums and evidence gates</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deliver a measurable 180-day plan with stop rules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mission owner must turn a successful demo into a controlled program without confusing activity with mission outcome.</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`case_pack/L7_scenario.json`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Produce and defend a 180-day plan with accountable owners, milestones, measures, risks, dependencies, review cadence, and stop/scale decisions.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https://www.nist.gov/itl/ai-risk-management-framework</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Training material — approval/pilot pending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VETSLEARN | CW-L-MAN-001 | RELEASE CANDIDATE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VetsLearn Module L — AI Program Leader — Learner Manual</dc:title>
  <dc:subject/>
  <dc:creator>VetsLearn curriculum development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