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VetsLearn Learner Start Guide</w:t>
      </w:r>
    </w:p>
    <w:p>
      <w:r>
        <w:rPr>
          <w:b/>
        </w:rPr>
        <w:t>CUSTOMER COURSEWARE • RELEASE CANDIDATE • APPROVAL PENDING</w:t>
      </w:r>
    </w:p>
    <w:tbl>
      <w:tblPr>
        <w:tblStyle w:val="TableGrid"/>
        <w:tblW w:type="auto" w:w="0"/>
        <w:tblLook w:firstColumn="1" w:firstRow="1" w:lastColumn="0" w:lastRow="0" w:noHBand="0" w:noVBand="1" w:val="04A0"/>
      </w:tblPr>
      <w:tblGrid>
        <w:gridCol w:w="4680"/>
        <w:gridCol w:w="4680"/>
      </w:tblGrid>
      <w:tr>
        <w:trPr>
          <w:tblHeader w:val="true"/>
        </w:trPr>
        <w:tc>
          <w:tcPr>
            <w:tcW w:type="dxa" w:w="4680"/>
            <w:vAlign w:val="center"/>
            <w:shd w:fill="E8EEF5"/>
          </w:tcPr>
          <w:p>
            <w:r>
              <w:rPr>
                <w:b/>
              </w:rPr>
              <w:t>Control field</w:t>
            </w:r>
          </w:p>
        </w:tc>
        <w:tc>
          <w:tcPr>
            <w:tcW w:type="dxa" w:w="4680"/>
            <w:vAlign w:val="center"/>
            <w:shd w:fill="E8EEF5"/>
          </w:tcPr>
          <w:p>
            <w:r>
              <w:rPr>
                <w:b/>
              </w:rPr>
              <w:t>Value</w:t>
            </w:r>
          </w:p>
        </w:tc>
      </w:tr>
      <w:tr>
        <w:tc>
          <w:tcPr>
            <w:tcW w:type="dxa" w:w="4680"/>
            <w:vAlign w:val="center"/>
          </w:tcPr>
          <w:p>
            <w:r>
              <w:t>Artifact ID</w:t>
            </w:r>
          </w:p>
        </w:tc>
        <w:tc>
          <w:tcPr>
            <w:tcW w:type="dxa" w:w="4680"/>
            <w:vAlign w:val="center"/>
          </w:tcPr>
          <w:p>
            <w:r>
              <w:t>CW-GDE-001</w:t>
            </w:r>
          </w:p>
        </w:tc>
      </w:tr>
      <w:tr>
        <w:tc>
          <w:tcPr>
            <w:tcW w:type="dxa" w:w="4680"/>
            <w:vAlign w:val="center"/>
          </w:tcPr>
          <w:p>
            <w:r>
              <w:t>Version</w:t>
            </w:r>
          </w:p>
        </w:tc>
        <w:tc>
          <w:tcPr>
            <w:tcW w:type="dxa" w:w="4680"/>
            <w:vAlign w:val="center"/>
          </w:tcPr>
          <w:p>
            <w:r>
              <w:t>1.0-rc1</w:t>
            </w:r>
          </w:p>
        </w:tc>
      </w:tr>
      <w:tr>
        <w:tc>
          <w:tcPr>
            <w:tcW w:type="dxa" w:w="4680"/>
            <w:vAlign w:val="center"/>
          </w:tcPr>
          <w:p>
            <w:r>
              <w:t>Status</w:t>
            </w:r>
          </w:p>
        </w:tc>
        <w:tc>
          <w:tcPr>
            <w:tcW w:type="dxa" w:w="4680"/>
            <w:vAlign w:val="center"/>
          </w:tcPr>
          <w:p>
            <w:r>
              <w:t>Customer-ready release candidate; instructional and accessibility review pending</w:t>
            </w:r>
          </w:p>
        </w:tc>
      </w:tr>
      <w:tr>
        <w:tc>
          <w:tcPr>
            <w:tcW w:type="dxa" w:w="4680"/>
            <w:vAlign w:val="center"/>
          </w:tcPr>
          <w:p>
            <w:r>
              <w:t>Owner</w:t>
            </w:r>
          </w:p>
        </w:tc>
        <w:tc>
          <w:tcPr>
            <w:tcW w:type="dxa" w:w="4680"/>
            <w:vAlign w:val="center"/>
          </w:tcPr>
          <w:p>
            <w:r>
              <w:t>VetsLearn program owner — appointment/confirmation pending</w:t>
            </w:r>
          </w:p>
        </w:tc>
      </w:tr>
      <w:tr>
        <w:tc>
          <w:tcPr>
            <w:tcW w:type="dxa" w:w="4680"/>
            <w:vAlign w:val="center"/>
          </w:tcPr>
          <w:p>
            <w:r>
              <w:t>Approver</w:t>
            </w:r>
          </w:p>
        </w:tc>
        <w:tc>
          <w:tcPr>
            <w:tcW w:type="dxa" w:w="4680"/>
            <w:vAlign w:val="center"/>
          </w:tcPr>
          <w:p>
            <w:r>
              <w:t>Authorized curriculum owner — approval pending</w:t>
            </w:r>
          </w:p>
        </w:tc>
      </w:tr>
      <w:tr>
        <w:tc>
          <w:tcPr>
            <w:tcW w:type="dxa" w:w="4680"/>
            <w:vAlign w:val="center"/>
          </w:tcPr>
          <w:p>
            <w:r>
              <w:t>Effective date</w:t>
            </w:r>
          </w:p>
        </w:tc>
        <w:tc>
          <w:tcPr>
            <w:tcW w:type="dxa" w:w="4680"/>
            <w:vAlign w:val="center"/>
          </w:tcPr>
          <w:p>
            <w:r>
              <w:t>Pending approval</w:t>
            </w:r>
          </w:p>
        </w:tc>
      </w:tr>
      <w:tr>
        <w:tc>
          <w:tcPr>
            <w:tcW w:type="dxa" w:w="4680"/>
            <w:vAlign w:val="center"/>
          </w:tcPr>
          <w:p>
            <w:r>
              <w:t>Review date</w:t>
            </w:r>
          </w:p>
        </w:tc>
        <w:tc>
          <w:tcPr>
            <w:tcW w:type="dxa" w:w="4680"/>
            <w:vAlign w:val="center"/>
          </w:tcPr>
          <w:p>
            <w:r>
              <w:t>At least annually; shorter cycles where stated in source curriculum</w:t>
            </w:r>
          </w:p>
        </w:tc>
      </w:tr>
      <w:tr>
        <w:tc>
          <w:tcPr>
            <w:tcW w:type="dxa" w:w="4680"/>
            <w:vAlign w:val="center"/>
          </w:tcPr>
          <w:p>
            <w:r>
              <w:t>Handling</w:t>
            </w:r>
          </w:p>
        </w:tc>
        <w:tc>
          <w:tcPr>
            <w:tcW w:type="dxa" w:w="4680"/>
            <w:vAlign w:val="center"/>
          </w:tcPr>
          <w:p>
            <w:r>
              <w:t>Public-courseware candidate unless marked instructor-only/restricted; synthetic or approved data only</w:t>
            </w:r>
          </w:p>
        </w:tc>
      </w:tr>
      <w:tr>
        <w:tc>
          <w:tcPr>
            <w:tcW w:type="dxa" w:w="4680"/>
            <w:vAlign w:val="center"/>
          </w:tcPr>
          <w:p>
            <w:r>
              <w:t>Purpose</w:t>
            </w:r>
          </w:p>
        </w:tc>
        <w:tc>
          <w:tcPr>
            <w:tcW w:type="dxa" w:w="4680"/>
            <w:vAlign w:val="center"/>
          </w:tcPr>
          <w:p>
            <w:r>
              <w:t>Provides every learner with the operating, safety, evidence, accessibility, and support rules needed before beginning any pathway.</w:t>
            </w:r>
          </w:p>
        </w:tc>
      </w:tr>
      <w:tr>
        <w:tc>
          <w:tcPr>
            <w:tcW w:type="dxa" w:w="4680"/>
            <w:vAlign w:val="center"/>
          </w:tcPr>
          <w:p>
            <w:r>
              <w:t>Evidence relationship</w:t>
            </w:r>
          </w:p>
        </w:tc>
        <w:tc>
          <w:tcPr>
            <w:tcW w:type="dxa" w:w="4680"/>
            <w:vAlign w:val="center"/>
          </w:tcPr>
          <w:p>
            <w:r>
              <w:t>CUR-001 curriculum v3.0-rc1; delivery handbook v3.0-rc2; module/lesson IDs; role task mappings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rPr>
          <w:tblHeader w:val="true"/>
        </w:trPr>
        <w:tc>
          <w:tcPr>
            <w:tcW w:type="dxa" w:w="2340"/>
            <w:vAlign w:val="center"/>
            <w:shd w:fill="E8EEF5"/>
          </w:tcPr>
          <w:p>
            <w:r>
              <w:rPr>
                <w:b/>
              </w:rPr>
              <w:t>Version</w:t>
            </w:r>
          </w:p>
        </w:tc>
        <w:tc>
          <w:tcPr>
            <w:tcW w:type="dxa" w:w="2340"/>
            <w:vAlign w:val="center"/>
            <w:shd w:fill="E8EEF5"/>
          </w:tcPr>
          <w:p>
            <w:r>
              <w:rPr>
                <w:b/>
              </w:rPr>
              <w:t>Date</w:t>
            </w:r>
          </w:p>
        </w:tc>
        <w:tc>
          <w:tcPr>
            <w:tcW w:type="dxa" w:w="2340"/>
            <w:vAlign w:val="center"/>
            <w:shd w:fill="E8EEF5"/>
          </w:tcPr>
          <w:p>
            <w:r>
              <w:rPr>
                <w:b/>
              </w:rPr>
              <w:t>Change</w:t>
            </w:r>
          </w:p>
        </w:tc>
        <w:tc>
          <w:tcPr>
            <w:tcW w:type="dxa" w:w="2340"/>
            <w:vAlign w:val="center"/>
            <w:shd w:fill="E8EEF5"/>
          </w:tcPr>
          <w:p>
            <w:r>
              <w:rPr>
                <w:b/>
              </w:rPr>
              <w:t>Approval</w:t>
            </w:r>
          </w:p>
        </w:tc>
      </w:tr>
      <w:tr>
        <w:tc>
          <w:tcPr>
            <w:tcW w:type="dxa" w:w="2340"/>
            <w:vAlign w:val="center"/>
          </w:tcPr>
          <w:p>
            <w:r>
              <w:t>1.0-rc1</w:t>
            </w:r>
          </w:p>
        </w:tc>
        <w:tc>
          <w:tcPr>
            <w:tcW w:type="dxa" w:w="2340"/>
            <w:vAlign w:val="center"/>
          </w:tcPr>
          <w:p>
            <w:r>
              <w:t>2026-08-01</w:t>
            </w:r>
          </w:p>
        </w:tc>
        <w:tc>
          <w:tcPr>
            <w:tcW w:type="dxa" w:w="2340"/>
            <w:vAlign w:val="center"/>
          </w:tcPr>
          <w:p>
            <w:r>
              <w:t>Initial complete-courseware production baseline</w:t>
            </w:r>
          </w:p>
        </w:tc>
        <w:tc>
          <w:tcPr>
            <w:tcW w:type="dxa" w:w="2340"/>
            <w:vAlign w:val="center"/>
          </w:tcPr>
          <w:p>
            <w:r>
              <w:t>Not yet approved</w:t>
            </w:r>
          </w:p>
        </w:tc>
      </w:tr>
    </w:tbl>
    <w:p>
      <w:pPr>
        <w:pStyle w:val="IntenseQuote"/>
      </w:pPr>
      <w:r>
        <w:t>Training boundary: Course completion and practice-assessment results are training records. They are not government approval, personnel certification, accreditation, clearance eligibility, labor-category acceptance, or authorization to use a tool, system, or data source.</w:t>
      </w:r>
    </w:p>
    <w:p>
      <w:pPr>
        <w:pStyle w:val="Heading1"/>
      </w:pPr>
      <w:r>
        <w:t>Welcome</w:t>
      </w:r>
    </w:p>
    <w:p>
      <w:r>
        <w:rPr>
          <w:b w:val="0"/>
        </w:rPr>
        <w:t>VetsLearn is an evidence-centered academy. You will learn by building, testing, explaining, and improving work products—not by collecting attendance hours. Every activity should leave a reviewable artifact and a clear statement of what it does and does not prove.</w:t>
      </w:r>
    </w:p>
    <w:p>
      <w:pPr>
        <w:pStyle w:val="Heading1"/>
      </w:pPr>
      <w:r>
        <w:t>Before you begin</w:t>
      </w:r>
    </w:p>
    <w:p>
      <w:r>
        <w:rPr>
          <w:b w:val="0"/>
        </w:rPr>
        <w:t>Confirm your assigned pathway, prerequisites, authorized tools, account, storage location, support contact, accommodation route, and data-handling rules. If the classification, ownership, authorization, or destination of data is uncertain, stop and ask the designated authority.</w:t>
      </w:r>
    </w:p>
    <w:p>
      <w:pPr>
        <w:pStyle w:val="Heading1"/>
      </w:pPr>
      <w:r>
        <w:t>The learner operating loop</w:t>
      </w:r>
    </w:p>
    <w:p>
      <w:pPr>
        <w:pStyle w:val="ListNumber"/>
      </w:pPr>
      <w:r>
        <w:t>Frame: identify the user, task, inputs, constraints, acceptance criteria, and decision owner.</w:t>
      </w:r>
    </w:p>
    <w:p>
      <w:pPr>
        <w:pStyle w:val="ListNumber"/>
      </w:pPr>
      <w:r>
        <w:t>Authorize: confirm the tool, data, account, environment, and purpose.</w:t>
      </w:r>
    </w:p>
    <w:p>
      <w:pPr>
        <w:pStyle w:val="ListNumber"/>
      </w:pPr>
      <w:r>
        <w:t>Build: perform the smallest bounded activity using the provided synthetic assets.</w:t>
      </w:r>
    </w:p>
    <w:p>
      <w:pPr>
        <w:pStyle w:val="ListNumber"/>
      </w:pPr>
      <w:r>
        <w:t>Verify: test claims, sources, calculations, behavior, permissions, and edge cases.</w:t>
      </w:r>
    </w:p>
    <w:p>
      <w:pPr>
        <w:pStyle w:val="ListNumber"/>
      </w:pPr>
      <w:r>
        <w:t>Document: preserve versions, prompts/configuration, evidence, limitations, and human decisions.</w:t>
      </w:r>
    </w:p>
    <w:p>
      <w:pPr>
        <w:pStyle w:val="ListNumber"/>
      </w:pPr>
      <w:r>
        <w:t>Debrief: explain results, failures, uncertainty, and the condition that would stop use.</w:t>
      </w:r>
    </w:p>
    <w:p>
      <w:pPr>
        <w:pStyle w:val="Heading1"/>
      </w:pPr>
      <w:r>
        <w:t>Evidence portfolio</w:t>
      </w:r>
    </w:p>
    <w:p>
      <w:r>
        <w:rPr>
          <w:b w:val="0"/>
        </w:rPr>
        <w:t>Keep learner outputs in your assigned workspace. Name files with lesson ID, artifact ID, version, and date. Do not include secrets or unauthorized data. Preserve the original synthetic inputs, your work product, verification evidence, and reflection. Instructor-only solutions and restricted assessment materials must not be copied into your portfolio.</w:t>
      </w:r>
    </w:p>
    <w:p>
      <w:pPr>
        <w:pStyle w:val="Heading1"/>
      </w:pPr>
      <w:r>
        <w:t>Collaboration and acceptable assistance</w:t>
      </w:r>
    </w:p>
    <w:p>
      <w:r>
        <w:rPr>
          <w:b w:val="0"/>
        </w:rPr>
        <w:t>Collaboration is allowed only as the lesson states. Identify outside assistance, including AI assistance, in the evidence record. Do not present another person's or system's work as your own. During independent checks, follow the stated tool and reference rules.</w:t>
      </w:r>
    </w:p>
    <w:p>
      <w:pPr>
        <w:pStyle w:val="Heading1"/>
      </w:pPr>
      <w:r>
        <w:t>Accessibility and support</w:t>
      </w:r>
    </w:p>
    <w:p>
      <w:r>
        <w:rPr>
          <w:b w:val="0"/>
        </w:rPr>
        <w:t>Request accommodations through the published program contact before an assessed event when possible. Technical failures, inaccessible content, or environment problems should be reported immediately; they are handled as administration incidents and are not automatically scored as learner failure.</w:t>
      </w:r>
    </w:p>
    <w:p>
      <w:pPr>
        <w:pStyle w:val="Heading1"/>
      </w:pPr>
      <w:r>
        <w:t>Training and credential records</w:t>
      </w:r>
    </w:p>
    <w:p>
      <w:r>
        <w:rPr>
          <w:b w:val="0"/>
        </w:rPr>
        <w:t>Participation, lesson completion, module completion, education certificates, proficiency records, personnel certification, accreditation, and external recognition are different outcomes. Your course materials state which record may be earned and what remains pending.</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Training material — not a certification decision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VETSLEARN | COURSEWARE RELEASE CANDIDATE | CW-GDE-001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before="0"/>
      <w:contextualSpacing/>
    </w:pPr>
    <w:rPr>
      <w:rFonts w:asciiTheme="majorHAnsi" w:eastAsiaTheme="majorEastAsia" w:hAnsiTheme="majorHAnsi" w:cstheme="majorBidi" w:ascii="Calibri" w:hAnsi="Calibri"/>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VetsLearn Learner Start Guide</dc:title>
  <dc:subject>Customer-ready courseware release candidate</dc:subject>
  <dc:creator>VetsLearn curriculum development</dc:creator>
  <cp:keywords/>
  <dc:description>generated by python-docx</dc:description>
  <cp:lastModifiedBy/>
  <cp:revision>1</cp:revision>
  <dcterms:created xsi:type="dcterms:W3CDTF">2013-12-23T23:15:00Z</dcterms:created>
  <dcterms:modified xsi:type="dcterms:W3CDTF">2013-12-23T23:15:00Z</dcterms:modified>
  <cp:category/>
</cp:coreProperties>
</file>