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800"/>
        <w:jc w:val="center"/>
      </w:pPr>
      <w:r>
        <w:rPr>
          <w:b/>
          <w:color w:val="2E74B5"/>
          <w:sz w:val="22"/>
        </w:rPr>
        <w:t>VETSLEARN APPLIED AI ACADEMY</w:t>
      </w:r>
    </w:p>
    <w:p>
      <w:pPr>
        <w:jc w:val="center"/>
      </w:pPr>
      <w:r>
        <w:rPr>
          <w:b/>
          <w:color w:val="1F4D78"/>
          <w:sz w:val="52"/>
        </w:rPr>
        <w:t>Production AI Engineering Learner Manual</w:t>
      </w:r>
    </w:p>
    <w:p>
      <w:pPr>
        <w:jc w:val="center"/>
      </w:pPr>
      <w:r>
        <w:rPr>
          <w:color w:val="505050"/>
          <w:sz w:val="28"/>
        </w:rPr>
        <w:t>Complete 12-lesson customer courseware | 202 planned hours</w:t>
      </w:r>
    </w:p>
    <w:p>
      <w:pPr>
        <w:spacing w:before="800"/>
        <w:jc w:val="center"/>
      </w:pPr>
      <w:r>
        <w:rPr>
          <w:b/>
          <w:color w:val="5A626C"/>
          <w:sz w:val="20"/>
        </w:rPr>
        <w:t>RELEASE CANDIDATE - SYNTHETIC DATA ONLY</w:t>
      </w:r>
    </w:p>
    <w:p>
      <w:r>
        <w:br w:type="page"/>
      </w:r>
    </w:p>
    <w:p>
      <w:pPr>
        <w:pStyle w:val="Heading1"/>
      </w:pPr>
      <w:r>
        <w:t>Document control and use</w:t>
      </w:r>
    </w:p>
    <w:p>
      <w: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r>
        <w:t>Design preset: compact_reference_guide. Header pattern: editorial_cover. Editable source lessons are the controlled Markdown files in this release package.</w:t>
      </w:r>
    </w:p>
    <w:p>
      <w:pPr>
        <w:pStyle w:val="Heading1"/>
      </w:pPr>
      <w:r>
        <w:t>Course map</w:t>
      </w:r>
    </w:p>
    <w:tbl>
      <w:tblPr>
        <w:tblW w:type="auto" w:w="0"/>
        <w:tblLayout w:type="fixed"/>
        <w:tblLook w:firstColumn="1" w:firstRow="1" w:lastColumn="0" w:lastRow="0" w:noHBand="0" w:noVBand="1" w:val="04A0"/>
      </w:tblPr>
      <w:tblGrid>
        <w:gridCol w:w="2340"/>
        <w:gridCol w:w="2340"/>
        <w:gridCol w:w="2340"/>
        <w:gridCol w:w="2340"/>
      </w:tblGrid>
      <w:tr>
        <w:tc>
          <w:tcPr>
            <w:tcW w:type="dxa" w:w="1008"/>
            <w:shd w:fill="E8EEF5"/>
            <w:tcMar>
              <w:top w:w="80" w:type="dxa"/>
              <w:start w:w="120" w:type="dxa"/>
              <w:bottom w:w="80" w:type="dxa"/>
              <w:end w:w="120" w:type="dxa"/>
            </w:tcMar>
          </w:tcPr>
          <w:p>
            <w:r>
              <w:t>ID</w:t>
            </w:r>
          </w:p>
        </w:tc>
        <w:tc>
          <w:tcPr>
            <w:tcW w:type="dxa" w:w="4896"/>
            <w:shd w:fill="E8EEF5"/>
            <w:tcMar>
              <w:top w:w="80" w:type="dxa"/>
              <w:start w:w="120" w:type="dxa"/>
              <w:bottom w:w="80" w:type="dxa"/>
              <w:end w:w="120" w:type="dxa"/>
            </w:tcMar>
          </w:tcPr>
          <w:p>
            <w:r>
              <w:t>Lesson</w:t>
            </w:r>
          </w:p>
        </w:tc>
        <w:tc>
          <w:tcPr>
            <w:tcW w:type="dxa" w:w="1152"/>
            <w:shd w:fill="E8EEF5"/>
            <w:tcMar>
              <w:top w:w="80" w:type="dxa"/>
              <w:start w:w="120" w:type="dxa"/>
              <w:bottom w:w="80" w:type="dxa"/>
              <w:end w:w="120" w:type="dxa"/>
            </w:tcMar>
          </w:tcPr>
          <w:p>
            <w:r>
              <w:t>Hours</w:t>
            </w:r>
          </w:p>
        </w:tc>
        <w:tc>
          <w:tcPr>
            <w:tcW w:type="dxa" w:w="2304"/>
            <w:shd w:fill="E8EEF5"/>
            <w:tcMar>
              <w:top w:w="80" w:type="dxa"/>
              <w:start w:w="120" w:type="dxa"/>
              <w:bottom w:w="80" w:type="dxa"/>
              <w:end w:w="120" w:type="dxa"/>
            </w:tcMar>
          </w:tcPr>
          <w:p>
            <w:r>
              <w:t>Task</w:t>
            </w:r>
          </w:p>
        </w:tc>
        <w:trPr>
          <w:tblHeader/>
        </w:trPr>
      </w:tr>
      <w:tr>
        <w:tc>
          <w:tcPr>
            <w:tcW w:type="dxa" w:w="1008"/>
            <w:tcMar>
              <w:top w:w="80" w:type="dxa"/>
              <w:start w:w="120" w:type="dxa"/>
              <w:bottom w:w="80" w:type="dxa"/>
              <w:end w:w="120" w:type="dxa"/>
            </w:tcMar>
          </w:tcPr>
          <w:p>
            <w:r>
              <w:t>P01</w:t>
            </w:r>
          </w:p>
        </w:tc>
        <w:tc>
          <w:tcPr>
            <w:tcW w:type="dxa" w:w="4896"/>
            <w:tcMar>
              <w:top w:w="80" w:type="dxa"/>
              <w:start w:w="120" w:type="dxa"/>
              <w:bottom w:w="80" w:type="dxa"/>
              <w:end w:w="120" w:type="dxa"/>
            </w:tcMar>
          </w:tcPr>
          <w:p>
            <w:r>
              <w:t>Machine learning foundations for system builders</w:t>
            </w:r>
          </w:p>
        </w:tc>
        <w:tc>
          <w:tcPr>
            <w:tcW w:type="dxa" w:w="1152"/>
            <w:tcMar>
              <w:top w:w="80" w:type="dxa"/>
              <w:start w:w="120" w:type="dxa"/>
              <w:bottom w:w="80" w:type="dxa"/>
              <w:end w:w="120" w:type="dxa"/>
            </w:tcMar>
          </w:tcPr>
          <w:p>
            <w:r>
              <w:t>10</w:t>
            </w:r>
          </w:p>
        </w:tc>
        <w:tc>
          <w:tcPr>
            <w:tcW w:type="dxa" w:w="2304"/>
            <w:tcMar>
              <w:top w:w="80" w:type="dxa"/>
              <w:start w:w="120" w:type="dxa"/>
              <w:bottom w:w="80" w:type="dxa"/>
              <w:end w:w="120" w:type="dxa"/>
            </w:tcMar>
          </w:tcPr>
          <w:p>
            <w:r>
              <w:t>TASK-P001</w:t>
            </w:r>
          </w:p>
        </w:tc>
      </w:tr>
      <w:tr>
        <w:tc>
          <w:tcPr>
            <w:tcW w:type="dxa" w:w="1008"/>
            <w:tcMar>
              <w:top w:w="80" w:type="dxa"/>
              <w:start w:w="120" w:type="dxa"/>
              <w:bottom w:w="80" w:type="dxa"/>
              <w:end w:w="120" w:type="dxa"/>
            </w:tcMar>
          </w:tcPr>
          <w:p>
            <w:r>
              <w:t>P02</w:t>
            </w:r>
          </w:p>
        </w:tc>
        <w:tc>
          <w:tcPr>
            <w:tcW w:type="dxa" w:w="4896"/>
            <w:tcMar>
              <w:top w:w="80" w:type="dxa"/>
              <w:start w:w="120" w:type="dxa"/>
              <w:bottom w:w="80" w:type="dxa"/>
              <w:end w:w="120" w:type="dxa"/>
            </w:tcMar>
          </w:tcPr>
          <w:p>
            <w:r>
              <w:t>Transformer and inference internals</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TASK-P002</w:t>
            </w:r>
          </w:p>
        </w:tc>
      </w:tr>
      <w:tr>
        <w:tc>
          <w:tcPr>
            <w:tcW w:type="dxa" w:w="1008"/>
            <w:tcMar>
              <w:top w:w="80" w:type="dxa"/>
              <w:start w:w="120" w:type="dxa"/>
              <w:bottom w:w="80" w:type="dxa"/>
              <w:end w:w="120" w:type="dxa"/>
            </w:tcMar>
          </w:tcPr>
          <w:p>
            <w:r>
              <w:t>P03</w:t>
            </w:r>
          </w:p>
        </w:tc>
        <w:tc>
          <w:tcPr>
            <w:tcW w:type="dxa" w:w="4896"/>
            <w:tcMar>
              <w:top w:w="80" w:type="dxa"/>
              <w:start w:w="120" w:type="dxa"/>
              <w:bottom w:w="80" w:type="dxa"/>
              <w:end w:w="120" w:type="dxa"/>
            </w:tcMar>
          </w:tcPr>
          <w:p>
            <w:r>
              <w:t>Adaptation, fine-tuning, and post-training decisions</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TASK-P003</w:t>
            </w:r>
          </w:p>
        </w:tc>
      </w:tr>
      <w:tr>
        <w:tc>
          <w:tcPr>
            <w:tcW w:type="dxa" w:w="1008"/>
            <w:tcMar>
              <w:top w:w="80" w:type="dxa"/>
              <w:start w:w="120" w:type="dxa"/>
              <w:bottom w:w="80" w:type="dxa"/>
              <w:end w:w="120" w:type="dxa"/>
            </w:tcMar>
          </w:tcPr>
          <w:p>
            <w:r>
              <w:t>P04</w:t>
            </w:r>
          </w:p>
        </w:tc>
        <w:tc>
          <w:tcPr>
            <w:tcW w:type="dxa" w:w="4896"/>
            <w:tcMar>
              <w:top w:w="80" w:type="dxa"/>
              <w:start w:w="120" w:type="dxa"/>
              <w:bottom w:w="80" w:type="dxa"/>
              <w:end w:w="120" w:type="dxa"/>
            </w:tcMar>
          </w:tcPr>
          <w:p>
            <w:r>
              <w:t>Production architecture and inference serving</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TASK-P004</w:t>
            </w:r>
          </w:p>
        </w:tc>
      </w:tr>
      <w:tr>
        <w:tc>
          <w:tcPr>
            <w:tcW w:type="dxa" w:w="1008"/>
            <w:tcMar>
              <w:top w:w="80" w:type="dxa"/>
              <w:start w:w="120" w:type="dxa"/>
              <w:bottom w:w="80" w:type="dxa"/>
              <w:end w:w="120" w:type="dxa"/>
            </w:tcMar>
          </w:tcPr>
          <w:p>
            <w:r>
              <w:t>P05</w:t>
            </w:r>
          </w:p>
        </w:tc>
        <w:tc>
          <w:tcPr>
            <w:tcW w:type="dxa" w:w="4896"/>
            <w:tcMar>
              <w:top w:w="80" w:type="dxa"/>
              <w:start w:w="120" w:type="dxa"/>
              <w:bottom w:w="80" w:type="dxa"/>
              <w:end w:w="120" w:type="dxa"/>
            </w:tcMar>
          </w:tcPr>
          <w:p>
            <w:r>
              <w:t>AI threat modeling and adversarial testing</w:t>
            </w:r>
          </w:p>
        </w:tc>
        <w:tc>
          <w:tcPr>
            <w:tcW w:type="dxa" w:w="1152"/>
            <w:tcMar>
              <w:top w:w="80" w:type="dxa"/>
              <w:start w:w="120" w:type="dxa"/>
              <w:bottom w:w="80" w:type="dxa"/>
              <w:end w:w="120" w:type="dxa"/>
            </w:tcMar>
          </w:tcPr>
          <w:p>
            <w:r>
              <w:t>14</w:t>
            </w:r>
          </w:p>
        </w:tc>
        <w:tc>
          <w:tcPr>
            <w:tcW w:type="dxa" w:w="2304"/>
            <w:tcMar>
              <w:top w:w="80" w:type="dxa"/>
              <w:start w:w="120" w:type="dxa"/>
              <w:bottom w:w="80" w:type="dxa"/>
              <w:end w:w="120" w:type="dxa"/>
            </w:tcMar>
          </w:tcPr>
          <w:p>
            <w:r>
              <w:t>TASK-P005</w:t>
            </w:r>
          </w:p>
        </w:tc>
      </w:tr>
      <w:tr>
        <w:tc>
          <w:tcPr>
            <w:tcW w:type="dxa" w:w="1008"/>
            <w:tcMar>
              <w:top w:w="80" w:type="dxa"/>
              <w:start w:w="120" w:type="dxa"/>
              <w:bottom w:w="80" w:type="dxa"/>
              <w:end w:w="120" w:type="dxa"/>
            </w:tcMar>
          </w:tcPr>
          <w:p>
            <w:r>
              <w:t>P06</w:t>
            </w:r>
          </w:p>
        </w:tc>
        <w:tc>
          <w:tcPr>
            <w:tcW w:type="dxa" w:w="4896"/>
            <w:tcMar>
              <w:top w:w="80" w:type="dxa"/>
              <w:start w:w="120" w:type="dxa"/>
              <w:bottom w:w="80" w:type="dxa"/>
              <w:end w:w="120" w:type="dxa"/>
            </w:tcMar>
          </w:tcPr>
          <w:p>
            <w:r>
              <w:t>Identity, authorization, privacy, and data protection</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TASK-P006</w:t>
            </w:r>
          </w:p>
        </w:tc>
      </w:tr>
      <w:tr>
        <w:tc>
          <w:tcPr>
            <w:tcW w:type="dxa" w:w="1008"/>
            <w:tcMar>
              <w:top w:w="80" w:type="dxa"/>
              <w:start w:w="120" w:type="dxa"/>
              <w:bottom w:w="80" w:type="dxa"/>
              <w:end w:w="120" w:type="dxa"/>
            </w:tcMar>
          </w:tcPr>
          <w:p>
            <w:r>
              <w:t>P07</w:t>
            </w:r>
          </w:p>
        </w:tc>
        <w:tc>
          <w:tcPr>
            <w:tcW w:type="dxa" w:w="4896"/>
            <w:tcMar>
              <w:top w:w="80" w:type="dxa"/>
              <w:start w:w="120" w:type="dxa"/>
              <w:bottom w:w="80" w:type="dxa"/>
              <w:end w:w="120" w:type="dxa"/>
            </w:tcMar>
          </w:tcPr>
          <w:p>
            <w:r>
              <w:t>Evaluation engineering and statistical evidence</w:t>
            </w:r>
          </w:p>
        </w:tc>
        <w:tc>
          <w:tcPr>
            <w:tcW w:type="dxa" w:w="1152"/>
            <w:tcMar>
              <w:top w:w="80" w:type="dxa"/>
              <w:start w:w="120" w:type="dxa"/>
              <w:bottom w:w="80" w:type="dxa"/>
              <w:end w:w="120" w:type="dxa"/>
            </w:tcMar>
          </w:tcPr>
          <w:p>
            <w:r>
              <w:t>14</w:t>
            </w:r>
          </w:p>
        </w:tc>
        <w:tc>
          <w:tcPr>
            <w:tcW w:type="dxa" w:w="2304"/>
            <w:tcMar>
              <w:top w:w="80" w:type="dxa"/>
              <w:start w:w="120" w:type="dxa"/>
              <w:bottom w:w="80" w:type="dxa"/>
              <w:end w:w="120" w:type="dxa"/>
            </w:tcMar>
          </w:tcPr>
          <w:p>
            <w:r>
              <w:t>TASK-P007</w:t>
            </w:r>
          </w:p>
        </w:tc>
      </w:tr>
      <w:tr>
        <w:tc>
          <w:tcPr>
            <w:tcW w:type="dxa" w:w="1008"/>
            <w:tcMar>
              <w:top w:w="80" w:type="dxa"/>
              <w:start w:w="120" w:type="dxa"/>
              <w:bottom w:w="80" w:type="dxa"/>
              <w:end w:w="120" w:type="dxa"/>
            </w:tcMar>
          </w:tcPr>
          <w:p>
            <w:r>
              <w:t>P08</w:t>
            </w:r>
          </w:p>
        </w:tc>
        <w:tc>
          <w:tcPr>
            <w:tcW w:type="dxa" w:w="4896"/>
            <w:tcMar>
              <w:top w:w="80" w:type="dxa"/>
              <w:start w:w="120" w:type="dxa"/>
              <w:bottom w:w="80" w:type="dxa"/>
              <w:end w:w="120" w:type="dxa"/>
            </w:tcMar>
          </w:tcPr>
          <w:p>
            <w:r>
              <w:t>Observability, safe logging, and incident response</w:t>
            </w:r>
          </w:p>
        </w:tc>
        <w:tc>
          <w:tcPr>
            <w:tcW w:type="dxa" w:w="1152"/>
            <w:tcMar>
              <w:top w:w="80" w:type="dxa"/>
              <w:start w:w="120" w:type="dxa"/>
              <w:bottom w:w="80" w:type="dxa"/>
              <w:end w:w="120" w:type="dxa"/>
            </w:tcMar>
          </w:tcPr>
          <w:p>
            <w:r>
              <w:t>14</w:t>
            </w:r>
          </w:p>
        </w:tc>
        <w:tc>
          <w:tcPr>
            <w:tcW w:type="dxa" w:w="2304"/>
            <w:tcMar>
              <w:top w:w="80" w:type="dxa"/>
              <w:start w:w="120" w:type="dxa"/>
              <w:bottom w:w="80" w:type="dxa"/>
              <w:end w:w="120" w:type="dxa"/>
            </w:tcMar>
          </w:tcPr>
          <w:p>
            <w:r>
              <w:t>TASK-P008</w:t>
            </w:r>
          </w:p>
        </w:tc>
      </w:tr>
      <w:tr>
        <w:tc>
          <w:tcPr>
            <w:tcW w:type="dxa" w:w="1008"/>
            <w:tcMar>
              <w:top w:w="80" w:type="dxa"/>
              <w:start w:w="120" w:type="dxa"/>
              <w:bottom w:w="80" w:type="dxa"/>
              <w:end w:w="120" w:type="dxa"/>
            </w:tcMar>
          </w:tcPr>
          <w:p>
            <w:r>
              <w:t>P09</w:t>
            </w:r>
          </w:p>
        </w:tc>
        <w:tc>
          <w:tcPr>
            <w:tcW w:type="dxa" w:w="4896"/>
            <w:tcMar>
              <w:top w:w="80" w:type="dxa"/>
              <w:start w:w="120" w:type="dxa"/>
              <w:bottom w:w="80" w:type="dxa"/>
              <w:end w:w="120" w:type="dxa"/>
            </w:tcMar>
          </w:tcPr>
          <w:p>
            <w:r>
              <w:t>Reliable workflows and agents</w:t>
            </w:r>
          </w:p>
        </w:tc>
        <w:tc>
          <w:tcPr>
            <w:tcW w:type="dxa" w:w="1152"/>
            <w:tcMar>
              <w:top w:w="80" w:type="dxa"/>
              <w:start w:w="120" w:type="dxa"/>
              <w:bottom w:w="80" w:type="dxa"/>
              <w:end w:w="120" w:type="dxa"/>
            </w:tcMar>
          </w:tcPr>
          <w:p>
            <w:r>
              <w:t>14</w:t>
            </w:r>
          </w:p>
        </w:tc>
        <w:tc>
          <w:tcPr>
            <w:tcW w:type="dxa" w:w="2304"/>
            <w:tcMar>
              <w:top w:w="80" w:type="dxa"/>
              <w:start w:w="120" w:type="dxa"/>
              <w:bottom w:w="80" w:type="dxa"/>
              <w:end w:w="120" w:type="dxa"/>
            </w:tcMar>
          </w:tcPr>
          <w:p>
            <w:r>
              <w:t>TASK-P009</w:t>
            </w:r>
          </w:p>
        </w:tc>
      </w:tr>
      <w:tr>
        <w:tc>
          <w:tcPr>
            <w:tcW w:type="dxa" w:w="1008"/>
            <w:tcMar>
              <w:top w:w="80" w:type="dxa"/>
              <w:start w:w="120" w:type="dxa"/>
              <w:bottom w:w="80" w:type="dxa"/>
              <w:end w:w="120" w:type="dxa"/>
            </w:tcMar>
          </w:tcPr>
          <w:p>
            <w:r>
              <w:t>P10</w:t>
            </w:r>
          </w:p>
        </w:tc>
        <w:tc>
          <w:tcPr>
            <w:tcW w:type="dxa" w:w="4896"/>
            <w:tcMar>
              <w:top w:w="80" w:type="dxa"/>
              <w:start w:w="120" w:type="dxa"/>
              <w:bottom w:w="80" w:type="dxa"/>
              <w:end w:w="120" w:type="dxa"/>
            </w:tcMar>
          </w:tcPr>
          <w:p>
            <w:r>
              <w:t>Performance, reliability, and resource governance</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TASK-P010</w:t>
            </w:r>
          </w:p>
        </w:tc>
      </w:tr>
      <w:tr>
        <w:tc>
          <w:tcPr>
            <w:tcW w:type="dxa" w:w="1008"/>
            <w:tcMar>
              <w:top w:w="80" w:type="dxa"/>
              <w:start w:w="120" w:type="dxa"/>
              <w:bottom w:w="80" w:type="dxa"/>
              <w:end w:w="120" w:type="dxa"/>
            </w:tcMar>
          </w:tcPr>
          <w:p>
            <w:r>
              <w:t>P11</w:t>
            </w:r>
          </w:p>
        </w:tc>
        <w:tc>
          <w:tcPr>
            <w:tcW w:type="dxa" w:w="4896"/>
            <w:tcMar>
              <w:top w:w="80" w:type="dxa"/>
              <w:start w:w="120" w:type="dxa"/>
              <w:bottom w:w="80" w:type="dxa"/>
              <w:end w:w="120" w:type="dxa"/>
            </w:tcMar>
          </w:tcPr>
          <w:p>
            <w:r>
              <w:t>Secure supply chain and continuous delivery</w:t>
            </w:r>
          </w:p>
        </w:tc>
        <w:tc>
          <w:tcPr>
            <w:tcW w:type="dxa" w:w="1152"/>
            <w:tcMar>
              <w:top w:w="80" w:type="dxa"/>
              <w:start w:w="120" w:type="dxa"/>
              <w:bottom w:w="80" w:type="dxa"/>
              <w:end w:w="120" w:type="dxa"/>
            </w:tcMar>
          </w:tcPr>
          <w:p>
            <w:r>
              <w:t>12</w:t>
            </w:r>
          </w:p>
        </w:tc>
        <w:tc>
          <w:tcPr>
            <w:tcW w:type="dxa" w:w="2304"/>
            <w:tcMar>
              <w:top w:w="80" w:type="dxa"/>
              <w:start w:w="120" w:type="dxa"/>
              <w:bottom w:w="80" w:type="dxa"/>
              <w:end w:w="120" w:type="dxa"/>
            </w:tcMar>
          </w:tcPr>
          <w:p>
            <w:r>
              <w:t>TASK-P011</w:t>
            </w:r>
          </w:p>
        </w:tc>
      </w:tr>
      <w:tr>
        <w:tc>
          <w:tcPr>
            <w:tcW w:type="dxa" w:w="1008"/>
            <w:tcMar>
              <w:top w:w="80" w:type="dxa"/>
              <w:start w:w="120" w:type="dxa"/>
              <w:bottom w:w="80" w:type="dxa"/>
              <w:end w:w="120" w:type="dxa"/>
            </w:tcMar>
          </w:tcPr>
          <w:p>
            <w:r>
              <w:t>P12</w:t>
            </w:r>
          </w:p>
        </w:tc>
        <w:tc>
          <w:tcPr>
            <w:tcW w:type="dxa" w:w="4896"/>
            <w:tcMar>
              <w:top w:w="80" w:type="dxa"/>
              <w:start w:w="120" w:type="dxa"/>
              <w:bottom w:w="80" w:type="dxa"/>
              <w:end w:w="120" w:type="dxa"/>
            </w:tcMar>
          </w:tcPr>
          <w:p>
            <w:r>
              <w:t>Production capstone, incident exercise, and board</w:t>
            </w:r>
          </w:p>
        </w:tc>
        <w:tc>
          <w:tcPr>
            <w:tcW w:type="dxa" w:w="1152"/>
            <w:tcMar>
              <w:top w:w="80" w:type="dxa"/>
              <w:start w:w="120" w:type="dxa"/>
              <w:bottom w:w="80" w:type="dxa"/>
              <w:end w:w="120" w:type="dxa"/>
            </w:tcMar>
          </w:tcPr>
          <w:p>
            <w:r>
              <w:t>64</w:t>
            </w:r>
          </w:p>
        </w:tc>
        <w:tc>
          <w:tcPr>
            <w:tcW w:type="dxa" w:w="2304"/>
            <w:tcMar>
              <w:top w:w="80" w:type="dxa"/>
              <w:start w:w="120" w:type="dxa"/>
              <w:bottom w:w="80" w:type="dxa"/>
              <w:end w:w="120" w:type="dxa"/>
            </w:tcMar>
          </w:tcPr>
          <w:p>
            <w:r>
              <w:t>TASK-P012</w:t>
            </w:r>
          </w:p>
        </w:tc>
      </w:tr>
    </w:tbl>
    <w:p>
      <w:r>
        <w:br w:type="page"/>
      </w:r>
    </w:p>
    <w:p>
      <w:pPr>
        <w:pStyle w:val="Heading1"/>
      </w:pPr>
      <w:r>
        <w:t>P01 | Machine learning foundations for system builders</w:t>
      </w:r>
    </w:p>
    <w:p>
      <w:pPr>
        <w:spacing w:after="40"/>
      </w:pPr>
      <w:r>
        <w:rPr>
          <w:color w:val="464646"/>
          <w:sz w:val="18"/>
        </w:rPr>
        <w:t>Control field | Value</w:t>
      </w:r>
    </w:p>
    <w:p>
      <w:pPr>
        <w:spacing w:after="40"/>
      </w:pPr>
      <w:r>
        <w:rPr>
          <w:color w:val="464646"/>
          <w:sz w:val="18"/>
        </w:rPr>
        <w:t>Artifact ID | LRN-P01-001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10 hours (instruction, guided practice, independent lab, and evidence review)</w:t>
      </w:r>
    </w:p>
    <w:p>
      <w:pPr>
        <w:pStyle w:val="ListBullet"/>
      </w:pPr>
      <w:r>
        <w:t>Curriculum task hypothesis: TASK-P001 -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Distinguish learning regimes and their evidence needs.</w:t>
      </w:r>
    </w:p>
    <w:p>
      <w:pPr>
        <w:pStyle w:val="ListNumber"/>
      </w:pPr>
      <w:r>
        <w:t>Train/evaluate a small classifier with clean splits.</w:t>
      </w:r>
    </w:p>
    <w:p>
      <w:pPr>
        <w:pStyle w:val="ListNumber"/>
      </w:pPr>
      <w:r>
        <w:t>Interpret loss, overfitting, calibration, and shift.</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 model estimate is conditional on data, objective, algorithm, and operating distribution. Features are inputs; labels operationalize a target and may encode error or policy choices. Separate train, validation, and test sets before fitting transformations. Learning curves compare training and validation behavior; a widening gap suggests variance, not an automatic remedy. Calibration asks whether predicted probabilities match observed frequencies. Distribution shift can change feature prevalence, label relationship, or user behavior without changing code.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the target and acceptable error asymmetry.</w:t>
      </w:r>
    </w:p>
    <w:p>
      <w:pPr>
        <w:pStyle w:val="ListBullet"/>
      </w:pPr>
      <w:r>
        <w:t>Prevent split leakage.</w:t>
      </w:r>
    </w:p>
    <w:p>
      <w:pPr>
        <w:pStyle w:val="ListBullet"/>
      </w:pPr>
      <w:r>
        <w:t>Select accuracy, calibration, and slice evidence appropriate to consequence.</w:t>
      </w:r>
    </w:p>
    <w:p>
      <w:pPr>
        <w:pStyle w:val="Heading2"/>
      </w:pPr>
      <w:r>
        <w:t>Worked example</w:t>
      </w:r>
    </w:p>
    <w:p>
      <w:r>
        <w:rPr>
          <w:rFonts w:ascii="Calibri" w:hAnsi="Calibri"/>
          <w:sz w:val="22"/>
        </w:rPr>
        <w:t>A synthetic urgency classifier achieves high accuracy but is overconfident on shifted vocabulary. The learner computes Brier score and calibration bins, documents the failure, and recommends abstention or retraining evidence.</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`labs/P/P01/scenario.json`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probability metrics, compare baseline and shifted samples, and write an interpretation that separates discrimination, calibration, and deployment relevance.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is accuracy insufficient?</w:t>
      </w:r>
    </w:p>
    <w:p>
      <w:pPr>
        <w:pStyle w:val="ListNumber"/>
      </w:pPr>
      <w:r>
        <w:t>How can preprocessing leak test information?</w:t>
      </w:r>
    </w:p>
    <w:p>
      <w:pPr>
        <w:pStyle w:val="ListNumber"/>
      </w:pPr>
      <w:r>
        <w:t>What evidence suggests distribution shift?</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Recompute one example by hand. Confirm labels and probability range before interpreting aggregate metrics.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https://airc.nist.gov/airmf-resources/airmf/</w:t>
      </w:r>
    </w:p>
    <w:p>
      <w:pPr>
        <w:pStyle w:val="ListBullet"/>
      </w:pPr>
      <w:r>
        <w:t>https://scikit-learn.org/stable/modules/calibration.html</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P02 | Transformer and inference internals</w:t>
      </w:r>
    </w:p>
    <w:p>
      <w:pPr>
        <w:spacing w:after="40"/>
      </w:pPr>
      <w:r>
        <w:rPr>
          <w:color w:val="464646"/>
          <w:sz w:val="18"/>
        </w:rPr>
        <w:t>Control field | Value</w:t>
      </w:r>
    </w:p>
    <w:p>
      <w:pPr>
        <w:spacing w:after="40"/>
      </w:pPr>
      <w:r>
        <w:rPr>
          <w:color w:val="464646"/>
          <w:sz w:val="18"/>
        </w:rPr>
        <w:t>Artifact ID | LRN-P02-001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TASK-P002 -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Trace tokenization, attention, residual flow, and decoding.</w:t>
      </w:r>
    </w:p>
    <w:p>
      <w:pPr>
        <w:pStyle w:val="ListNumber"/>
      </w:pPr>
      <w:r>
        <w:t>Relate context and KV cache to memory/latency.</w:t>
      </w:r>
    </w:p>
    <w:p>
      <w:pPr>
        <w:pStyle w:val="ListNumber"/>
      </w:pPr>
      <w:r>
        <w:t>Measure decoding trade-offs.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Transformers operate on token representations. Causal masking restricts a token from attending to future positions. Attention cost grows with sequence length; KV caching avoids recomputing earlier keys and values during autoregressive decoding but consumes memory. Batching improves throughput while potentially increasing queue latency. Quantization reduces memory and compute at possible quality cost. Decoding parameters alter the output distribution; they are not truth controls. Profile the actual workload because theoretical FLOPs do not include tokenization, queuing, transfer, or application overhead.</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context length from evidence, not the maximum advertised value.</w:t>
      </w:r>
    </w:p>
    <w:p>
      <w:pPr>
        <w:pStyle w:val="ListBullet"/>
      </w:pPr>
      <w:r>
        <w:t>Balance batch throughput with tail latency.</w:t>
      </w:r>
    </w:p>
    <w:p>
      <w:pPr>
        <w:pStyle w:val="ListBullet"/>
      </w:pPr>
      <w:r>
        <w:t>Document weight provenance, license, checksum, and runtime code before loading.</w:t>
      </w:r>
    </w:p>
    <w:p>
      <w:pPr>
        <w:pStyle w:val="Heading2"/>
      </w:pPr>
      <w:r>
        <w:t>Worked example</w:t>
      </w:r>
    </w:p>
    <w:p>
      <w:r>
        <w:rPr>
          <w:rFonts w:ascii="Calibri" w:hAnsi="Calibri"/>
          <w:sz w:val="22"/>
        </w:rPr>
        <w:t>A local simulator estimates prefill, decode, and cache cost as context and output length change. The learner identifies the knee where a larger context breaches the latency objective and proposes retrieval or summarization instead.</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`labs/P/P02/scenario.json`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Run the inference-profile simulator across the supplied workloads, explain memory and latency trends, and issue a deployment constraint note.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What does KV cache save and cost?</w:t>
      </w:r>
    </w:p>
    <w:p>
      <w:pPr>
        <w:pStyle w:val="ListNumber"/>
      </w:pPr>
      <w:r>
        <w:t>Why can larger context reduce service quality?</w:t>
      </w:r>
    </w:p>
    <w:p>
      <w:pPr>
        <w:pStyle w:val="ListNumber"/>
      </w:pPr>
      <w:r>
        <w:t>Why is low temperature not a factuality guarantee?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Hold all but one variable constant. If results conflict, inspect units and workload mix before drawing an architectural conclusion.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https://arxiv.org/abs/1706.03762</w:t>
      </w:r>
    </w:p>
    <w:p>
      <w:pPr>
        <w:pStyle w:val="ListBullet"/>
      </w:pPr>
      <w:r>
        <w:t>https://pytorch.org/docs/stable/index.html</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P03 | Adaptation, fine-tuning, and post-training decisions</w:t>
      </w:r>
    </w:p>
    <w:p>
      <w:pPr>
        <w:spacing w:after="40"/>
      </w:pPr>
      <w:r>
        <w:rPr>
          <w:color w:val="464646"/>
          <w:sz w:val="18"/>
        </w:rPr>
        <w:t>Control field | Value</w:t>
      </w:r>
    </w:p>
    <w:p>
      <w:pPr>
        <w:spacing w:after="40"/>
      </w:pPr>
      <w:r>
        <w:rPr>
          <w:color w:val="464646"/>
          <w:sz w:val="18"/>
        </w:rPr>
        <w:t>Artifact ID | LRN-P03-001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TASK-P003 -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Choose among prompting, retrieval, tools, tuning, and replacement.</w:t>
      </w:r>
    </w:p>
    <w:p>
      <w:pPr>
        <w:pStyle w:val="ListNumber"/>
      </w:pPr>
      <w:r>
        <w:t>Audit adaptation data rights and contamination.</w:t>
      </w:r>
    </w:p>
    <w:p>
      <w:pPr>
        <w:pStyle w:val="ListNumber"/>
      </w:pPr>
      <w:r>
        <w:t>Compare tuning against simpler baselines.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Fine-tuning changes model behavior; it does not automatically add fresh knowledge, authorization, or factual grounding. Start with the failure mechanism. Prompting may fix instruction clarity; retrieval may supply changing evidence; tools may supply deterministic computation; tuning may improve stable behavior or format. Adaptation data needs provenance, rights, consent where applicable, purpose limitation, deduplication, contamination analysis, and deletion obligations. Compare on held-out cases and safety slices, keep a rollback model, and record a defensible no-tune decision when simpler controls win.</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Diagnose the error before choosing adaptation.</w:t>
      </w:r>
    </w:p>
    <w:p>
      <w:pPr>
        <w:pStyle w:val="ListBullet"/>
      </w:pPr>
      <w:r>
        <w:t>Approve data rights and purpose before training.</w:t>
      </w:r>
    </w:p>
    <w:p>
      <w:pPr>
        <w:pStyle w:val="ListBullet"/>
      </w:pPr>
      <w:r>
        <w:t>Require value over baselines and no critical safety regression.</w:t>
      </w:r>
    </w:p>
    <w:p>
      <w:pPr>
        <w:pStyle w:val="Heading2"/>
      </w:pPr>
      <w:r>
        <w:t>Worked example</w:t>
      </w:r>
    </w:p>
    <w:p>
      <w:r>
        <w:rPr>
          <w:rFonts w:ascii="Calibri" w:hAnsi="Calibri"/>
          <w:sz w:val="22"/>
        </w:rPr>
        <w:t>A simulated scorecard shows tuning improves style but degrades abstention and adds no retrieval accuracy. The decision record rejects tuning and retains retrieval plus schema validation.</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`labs/P/P03/scenario.json`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adaptation decision function, evaluate four candidate approaches against requirements, and document the chosen baseline and rollback trigger.</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When is retrieval preferable to tuning?</w:t>
      </w:r>
    </w:p>
    <w:p>
      <w:pPr>
        <w:pStyle w:val="ListNumber"/>
      </w:pPr>
      <w:r>
        <w:t>What is contamination?</w:t>
      </w:r>
    </w:p>
    <w:p>
      <w:pPr>
        <w:pStyle w:val="ListNumber"/>
      </w:pPr>
      <w:r>
        <w:t>What evidence supports a no-tune decision?</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Separate requirements into knowledge, behavior, latency, privacy, and maintenance. Do not aggregate a critical safety regression into an average benefit.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https://csrc.nist.gov/pubs/sp/800/218/a/final</w:t>
      </w:r>
    </w:p>
    <w:p>
      <w:pPr>
        <w:pStyle w:val="ListBullet"/>
      </w:pPr>
      <w:r>
        <w:t>https://huggingface.co/docs/peft/index</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P04 | Production architecture and inference serving</w:t>
      </w:r>
    </w:p>
    <w:p>
      <w:pPr>
        <w:spacing w:after="40"/>
      </w:pPr>
      <w:r>
        <w:rPr>
          <w:color w:val="464646"/>
          <w:sz w:val="18"/>
        </w:rPr>
        <w:t>Control field | Value</w:t>
      </w:r>
    </w:p>
    <w:p>
      <w:pPr>
        <w:spacing w:after="40"/>
      </w:pPr>
      <w:r>
        <w:rPr>
          <w:color w:val="464646"/>
          <w:sz w:val="18"/>
        </w:rPr>
        <w:t>Artifact ID | LRN-P04-001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TASK-P004 -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Translate workload and SLOs into capacity.</w:t>
      </w:r>
    </w:p>
    <w:p>
      <w:pPr>
        <w:pStyle w:val="ListNumber"/>
      </w:pPr>
      <w:r>
        <w:t>Compare managed, hosted, and on-premises options.</w:t>
      </w:r>
    </w:p>
    <w:p>
      <w:pPr>
        <w:pStyle w:val="ListNumber"/>
      </w:pPr>
      <w:r>
        <w:t>Design queuing, backpressure, caching, and degradation.</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Architecture begins with workload: arrival rate, concurrency, token distribution, latency objective, availability, data boundary, and failure consequence. Average latency is not capacity evidence; use percentiles and burst behavior. Queues absorb short bursts but create wait time and can amplify overload. Backpressure rejects or sheds work before collapse. Caches need identity, authorization, version, and freshness keys. Graceful degradation might shorten context, use a validated smaller model, return retrieval-only results, or abstain. Every option needs an exit and rollback strategy.</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SLO and saturation signals.</w:t>
      </w:r>
    </w:p>
    <w:p>
      <w:pPr>
        <w:pStyle w:val="ListBullet"/>
      </w:pPr>
      <w:r>
        <w:t>Select deployment boundary from authorization evidence.</w:t>
      </w:r>
    </w:p>
    <w:p>
      <w:pPr>
        <w:pStyle w:val="ListBullet"/>
      </w:pPr>
      <w:r>
        <w:t>Choose degradation that preserves safety and user expectations.</w:t>
      </w:r>
    </w:p>
    <w:p>
      <w:pPr>
        <w:pStyle w:val="Heading2"/>
      </w:pPr>
      <w:r>
        <w:t>Worked example</w:t>
      </w:r>
    </w:p>
    <w:p>
      <w:r>
        <w:rPr>
          <w:rFonts w:ascii="Calibri" w:hAnsi="Calibri"/>
          <w:sz w:val="22"/>
        </w:rPr>
        <w:t>Two simulated architectures have different service rates and queue limits. The capacity model shows one meets median latency but fails p95 during bursts. The ADR selects the second and documents an offline fallback.</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`labs/P/P04/scenario.json`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capacity/queue model, test normal and burst workloads, and produce an ADR connecting requirements to measured trade-offs.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does average latency hide overload?</w:t>
      </w:r>
    </w:p>
    <w:p>
      <w:pPr>
        <w:pStyle w:val="ListNumber"/>
      </w:pPr>
      <w:r>
        <w:t>What belongs in a cache key?</w:t>
      </w:r>
    </w:p>
    <w:p>
      <w:pPr>
        <w:pStyle w:val="ListNumber"/>
      </w:pPr>
      <w:r>
        <w:t>How does backpressure protect reliability?</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Check units: requests/second, seconds/request, tokens/request, and concurrency. Reproduce one estimate manually before trusting the simulator.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https://sre.google/sre-book/service-level-objectives/</w:t>
      </w:r>
    </w:p>
    <w:p>
      <w:pPr>
        <w:pStyle w:val="ListBullet"/>
      </w:pPr>
      <w:r>
        <w:t>https://kubernetes.io/docs/concepts/workloads/autoscaling/</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P05 | AI threat modeling and adversarial testing</w:t>
      </w:r>
    </w:p>
    <w:p>
      <w:pPr>
        <w:spacing w:after="40"/>
      </w:pPr>
      <w:r>
        <w:rPr>
          <w:color w:val="464646"/>
          <w:sz w:val="18"/>
        </w:rPr>
        <w:t>Control field | Value</w:t>
      </w:r>
    </w:p>
    <w:p>
      <w:pPr>
        <w:spacing w:after="40"/>
      </w:pPr>
      <w:r>
        <w:rPr>
          <w:color w:val="464646"/>
          <w:sz w:val="18"/>
        </w:rPr>
        <w:t>Artifact ID | LRN-P05-001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14 hours (instruction, guided practice, independent lab, and evidence review)</w:t>
      </w:r>
    </w:p>
    <w:p>
      <w:pPr>
        <w:pStyle w:val="ListBullet"/>
      </w:pPr>
      <w:r>
        <w:t>Curriculum task hypothesis: TASK-P005 -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Map assets, actors, trust boundaries, and abuse paths.</w:t>
      </w:r>
    </w:p>
    <w:p>
      <w:pPr>
        <w:pStyle w:val="ListNumber"/>
      </w:pPr>
      <w:r>
        <w:t>Test injection, disclosure, poisoning, denial, and excessive agency.</w:t>
      </w:r>
    </w:p>
    <w:p>
      <w:pPr>
        <w:pStyle w:val="ListNumber"/>
      </w:pPr>
      <w:r>
        <w:t>Verify mitigations with regression evidence.</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AI threat modeling covers the whole system: users, identities, prompts, retrieved content, model, tools, data stores, telemetry, dependencies, operators, and supply chain. Begin with assets and unacceptable outcomes, then draw trust boundaries and entry points. A prompt injection is one attack path, not the threat model. Record preconditions, exploit path, affected asset, impact, existing controls, evidence, and residual risk. Test only in the authorized course sandbox. A mitigation is not complete until a regression test demonstrates containment.</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Prioritize by plausible path and consequence.</w:t>
      </w:r>
    </w:p>
    <w:p>
      <w:pPr>
        <w:pStyle w:val="ListBullet"/>
      </w:pPr>
      <w:r>
        <w:t>Distinguish prevention, detection, containment, and recovery controls.</w:t>
      </w:r>
    </w:p>
    <w:p>
      <w:pPr>
        <w:pStyle w:val="ListBullet"/>
      </w:pPr>
      <w:r>
        <w:t>Stop testing at the authorized boundary.</w:t>
      </w:r>
    </w:p>
    <w:p>
      <w:pPr>
        <w:pStyle w:val="Heading2"/>
      </w:pPr>
      <w:r>
        <w:t>Worked example</w:t>
      </w:r>
    </w:p>
    <w:p>
      <w:r>
        <w:rPr>
          <w:rFonts w:ascii="Calibri" w:hAnsi="Calibri"/>
          <w:sz w:val="22"/>
        </w:rPr>
        <w:t>The vulnerable seed application trusts retrieved instructions and exposes an export tool. The red team demonstrates an indirect injection; the fix treats retrieval as untrusted, removes the tool by default, validates policy server-side, and adds a regression case.</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`labs/P/P05/scenario.json`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Analyze the supplied threat scenarios, rank risks, implement the containment decision, and produce reproducible finding and regression records.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is a jailbreak list not a threat model?</w:t>
      </w:r>
    </w:p>
    <w:p>
      <w:pPr>
        <w:pStyle w:val="ListNumber"/>
      </w:pPr>
      <w:r>
        <w:t>What evidence closes a finding?</w:t>
      </w:r>
    </w:p>
    <w:p>
      <w:pPr>
        <w:pStyle w:val="ListNumber"/>
      </w:pPr>
      <w:r>
        <w:t>What determines the test boundary?</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Reproduce one path in the local simulator. If a scenario would touch a real system, stop and translate it into a synthetic equivalent.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https://genai.owasp.org/</w:t>
      </w:r>
    </w:p>
    <w:p>
      <w:pPr>
        <w:pStyle w:val="ListBullet"/>
      </w:pPr>
      <w:r>
        <w:t>https://airc.nist.gov/Docs/Generative_AI_Profile.pdf</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P06 | Identity, authorization, privacy, and data protection</w:t>
      </w:r>
    </w:p>
    <w:p>
      <w:pPr>
        <w:spacing w:after="40"/>
      </w:pPr>
      <w:r>
        <w:rPr>
          <w:color w:val="464646"/>
          <w:sz w:val="18"/>
        </w:rPr>
        <w:t>Control field | Value</w:t>
      </w:r>
    </w:p>
    <w:p>
      <w:pPr>
        <w:spacing w:after="40"/>
      </w:pPr>
      <w:r>
        <w:rPr>
          <w:color w:val="464646"/>
          <w:sz w:val="18"/>
        </w:rPr>
        <w:t>Artifact ID | LRN-P06-001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TASK-P006 -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Implement least-privilege authorization for users and services.</w:t>
      </w:r>
    </w:p>
    <w:p>
      <w:pPr>
        <w:pStyle w:val="ListNumber"/>
      </w:pPr>
      <w:r>
        <w:t>Protect data across retrieval, tools, logs, and exports.</w:t>
      </w:r>
    </w:p>
    <w:p>
      <w:pPr>
        <w:pStyle w:val="ListNumber"/>
      </w:pPr>
      <w:r>
        <w:t>Design retention, deletion, and access review.</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Authentication establishes an identity with stated assurance; authorization decides whether that principal may perform an action on a resource in context. Models do neither reliably. RBAC groups permissions by role; ABAC evaluates attributes such as tenant, ownership, purpose, and resource label. Enforcement must be consistent across retrieval, cache, tool, log, and export paths and fail closed when attributes are missing. Privacy engineering minimizes collection and retention, limits purpose, supports deletion, and makes exceptional full-content access auditable.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Select central policy inputs and enforcement points.</w:t>
      </w:r>
    </w:p>
    <w:p>
      <w:pPr>
        <w:pStyle w:val="ListBullet"/>
      </w:pPr>
      <w:r>
        <w:t>Partition caches and telemetry by authorization context.</w:t>
      </w:r>
    </w:p>
    <w:p>
      <w:pPr>
        <w:pStyle w:val="ListBullet"/>
      </w:pPr>
      <w:r>
        <w:t>Define fail-closed behavior and break-glass governance.</w:t>
      </w:r>
    </w:p>
    <w:p>
      <w:pPr>
        <w:pStyle w:val="Heading2"/>
      </w:pPr>
      <w:r>
        <w:t>Worked example</w:t>
      </w:r>
    </w:p>
    <w:p>
      <w:r>
        <w:rPr>
          <w:rFonts w:ascii="Calibri" w:hAnsi="Calibri"/>
          <w:sz w:val="22"/>
        </w:rPr>
        <w:t>A two-tenant case system includes allowed and denied records. Tests attempt direct retrieval, cached retrieval, export, and log access across tenants. Missing tenant attributes deny access and generate a metadata-only audit event.</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`labs/P/P06/scenario.json`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authorization predicate and pass all negative-access cases; produce a data-flow and retention decision record.</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How do authentication and authorization differ?</w:t>
      </w:r>
    </w:p>
    <w:p>
      <w:pPr>
        <w:pStyle w:val="ListNumber"/>
      </w:pPr>
      <w:r>
        <w:t>Why can prompt roles not enforce access?</w:t>
      </w:r>
    </w:p>
    <w:p>
      <w:pPr>
        <w:pStyle w:val="ListNumber"/>
      </w:pPr>
      <w:r>
        <w:t>Where must tenant isolation be tested?</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Trace a denied resource through every path. If one path leaks, freeze the exercise, preserve the trace, and repair the common enforcement layer rather than individual prompts.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https://csrc.nist.gov/pubs/sp/800/53/r5/upd1/final</w:t>
      </w:r>
    </w:p>
    <w:p>
      <w:pPr>
        <w:pStyle w:val="ListBullet"/>
      </w:pPr>
      <w:r>
        <w:t>https://www.nist.gov/privacy-framework</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P07 | Evaluation engineering and statistical evidence</w:t>
      </w:r>
    </w:p>
    <w:p>
      <w:pPr>
        <w:spacing w:after="40"/>
      </w:pPr>
      <w:r>
        <w:rPr>
          <w:color w:val="464646"/>
          <w:sz w:val="18"/>
        </w:rPr>
        <w:t>Control field | Value</w:t>
      </w:r>
    </w:p>
    <w:p>
      <w:pPr>
        <w:spacing w:after="40"/>
      </w:pPr>
      <w:r>
        <w:rPr>
          <w:color w:val="464646"/>
          <w:sz w:val="18"/>
        </w:rPr>
        <w:t>Artifact ID | LRN-P07-001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14 hours (instruction, guided practice, independent lab, and evidence review)</w:t>
      </w:r>
    </w:p>
    <w:p>
      <w:pPr>
        <w:pStyle w:val="ListBullet"/>
      </w:pPr>
      <w:r>
        <w:t>Curriculum task hypothesis: TASK-P007 -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Design stratified comparisons tied to risks and populations.</w:t>
      </w:r>
    </w:p>
    <w:p>
      <w:pPr>
        <w:pStyle w:val="ListNumber"/>
      </w:pPr>
      <w:r>
        <w:t>Quantify uncertainty with paired evidence.</w:t>
      </w:r>
    </w:p>
    <w:p>
      <w:pPr>
        <w:pStyle w:val="ListNumber"/>
      </w:pPr>
      <w:r>
        <w:t>Calibrate automated graders against humans.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 release comparison should preserve pairing: run the same cases on both systems and analyze per-case differences. Stratify by risk and user-relevant slices before sampling. Confidence intervals express sampling uncertainty, not all uncertainty. Rare critical failures often need targeted tests and conjunctive rules rather than an average rate. Human rating protocols define criteria, anchors, blinding, and adjudication. Automated judges are measurement instruments whose agreement, bias, and failure modes must be tested against qualified human judgments.</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estimand and decision threshold before data collection.</w:t>
      </w:r>
    </w:p>
    <w:p>
      <w:pPr>
        <w:pStyle w:val="ListBullet"/>
      </w:pPr>
      <w:r>
        <w:t>Preserve paired case identifiers.</w:t>
      </w:r>
    </w:p>
    <w:p>
      <w:pPr>
        <w:pStyle w:val="ListBullet"/>
      </w:pPr>
      <w:r>
        <w:t>Separate statistical, operational, and safety significance.</w:t>
      </w:r>
    </w:p>
    <w:p>
      <w:pPr>
        <w:pStyle w:val="Heading2"/>
      </w:pPr>
      <w:r>
        <w:t>Worked example</w:t>
      </w:r>
    </w:p>
    <w:p>
      <w:r>
        <w:rPr>
          <w:rFonts w:ascii="Calibri" w:hAnsi="Calibri"/>
          <w:sz w:val="22"/>
        </w:rPr>
        <w:t>Two systems are compared on 40 paired synthetic cases. The new system improves routine cases but creates two critical disclosure failures. The release decision is no-go despite a positive average difference.</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`labs/P/P07/scenario.json`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Compute paired changes and a bootstrap interval from the supplied results, report slice outcomes, and apply the critical-failure rule.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are paired comparisons powerful?</w:t>
      </w:r>
    </w:p>
    <w:p>
      <w:pPr>
        <w:pStyle w:val="ListNumber"/>
      </w:pPr>
      <w:r>
        <w:t>What does a confidence interval omit?</w:t>
      </w:r>
    </w:p>
    <w:p>
      <w:pPr>
        <w:pStyle w:val="ListNumber"/>
      </w:pPr>
      <w:r>
        <w:t>How should rare critical failures be handled?</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Recalculate with a fixed random seed and verify case alignment. If one system is missing a case, flag it; do not silently drop the pair.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https://airc.nist.gov/airmf-resources/airmf/</w:t>
      </w:r>
    </w:p>
    <w:p>
      <w:pPr>
        <w:pStyle w:val="ListBullet"/>
      </w:pPr>
      <w:r>
        <w:t>https://www.itl.nist.gov/div898/handbook/</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P08 | Observability, safe logging, and incident response</w:t>
      </w:r>
    </w:p>
    <w:p>
      <w:pPr>
        <w:spacing w:after="40"/>
      </w:pPr>
      <w:r>
        <w:rPr>
          <w:color w:val="464646"/>
          <w:sz w:val="18"/>
        </w:rPr>
        <w:t>Control field | Value</w:t>
      </w:r>
    </w:p>
    <w:p>
      <w:pPr>
        <w:spacing w:after="40"/>
      </w:pPr>
      <w:r>
        <w:rPr>
          <w:color w:val="464646"/>
          <w:sz w:val="18"/>
        </w:rPr>
        <w:t>Artifact ID | LRN-P08-001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14 hours (instruction, guided practice, independent lab, and evidence review)</w:t>
      </w:r>
    </w:p>
    <w:p>
      <w:pPr>
        <w:pStyle w:val="ListBullet"/>
      </w:pPr>
      <w:r>
        <w:t>Curriculum task hypothesis: TASK-P008 -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Define signals across application, model, retrieval, and tools.</w:t>
      </w:r>
    </w:p>
    <w:p>
      <w:pPr>
        <w:pStyle w:val="ListNumber"/>
      </w:pPr>
      <w:r>
        <w:t>Implement privacy-aware traces.</w:t>
      </w:r>
    </w:p>
    <w:p>
      <w:pPr>
        <w:pStyle w:val="ListNumber"/>
      </w:pPr>
      <w:r>
        <w:t>Detect, contain, recover, communicate, and learn.</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Observability connects symptoms to causes using metrics, logs, traces, and audit records. Signals should cover service health, model behavior, retrieval evidence, tool outcomes, safety events, and mission impact. Full content is exceptional; use identifiers, derived measures, sampling, and controlled diagnostic capture. An incident process protects people and systems, preserves evidence, assigns decision authority, contains spread, restores a known-good state, communicates to required parties, and converts the failure into regression evidence. A restart without cause and test evidence is not recovery.</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severity and escalation triggers.</w:t>
      </w:r>
    </w:p>
    <w:p>
      <w:pPr>
        <w:pStyle w:val="ListBullet"/>
      </w:pPr>
      <w:r>
        <w:t>Minimize telemetry while preserving diagnostic value.</w:t>
      </w:r>
    </w:p>
    <w:p>
      <w:pPr>
        <w:pStyle w:val="ListBullet"/>
      </w:pPr>
      <w:r>
        <w:t>Choose containment before optimization.</w:t>
      </w:r>
    </w:p>
    <w:p>
      <w:pPr>
        <w:pStyle w:val="Heading2"/>
      </w:pPr>
      <w:r>
        <w:t>Worked example</w:t>
      </w:r>
    </w:p>
    <w:p>
      <w:r>
        <w:rPr>
          <w:rFonts w:ascii="Calibri" w:hAnsi="Calibri"/>
          <w:sz w:val="22"/>
        </w:rPr>
        <w:t>An incident inject raises cross-tenant denial events and a groundedness drop after release v3. The operator freezes promotion, disables the affected path, preserves metadata traces, rolls back, validates recovery, and opens a regression action.</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`labs/P/P08/scenario.json`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Run the incident tabletop using the supplied timeline, make timed containment decisions, and complete the incident/change record and regression case.</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What is the difference between detection and diagnosis?</w:t>
      </w:r>
    </w:p>
    <w:p>
      <w:pPr>
        <w:pStyle w:val="ListNumber"/>
      </w:pPr>
      <w:r>
        <w:t>Why is full-content logging exceptional?</w:t>
      </w:r>
    </w:p>
    <w:p>
      <w:pPr>
        <w:pStyle w:val="ListNumber"/>
      </w:pPr>
      <w:r>
        <w:t>What evidence proves recovery?</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Use the reset manifest to restore the simulator. Preserve the original incident events; never edit them to make the response appear faster.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https://csrc.nist.gov/pubs/sp/800/61/r3/final</w:t>
      </w:r>
    </w:p>
    <w:p>
      <w:pPr>
        <w:pStyle w:val="ListBullet"/>
      </w:pPr>
      <w:r>
        <w:t>https://airc.nist.gov/airmf-resources/airmf/</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P09 | Reliable workflows and agents</w:t>
      </w:r>
    </w:p>
    <w:p>
      <w:pPr>
        <w:spacing w:after="40"/>
      </w:pPr>
      <w:r>
        <w:rPr>
          <w:color w:val="464646"/>
          <w:sz w:val="18"/>
        </w:rPr>
        <w:t>Control field | Value</w:t>
      </w:r>
    </w:p>
    <w:p>
      <w:pPr>
        <w:spacing w:after="40"/>
      </w:pPr>
      <w:r>
        <w:rPr>
          <w:color w:val="464646"/>
          <w:sz w:val="18"/>
        </w:rPr>
        <w:t>Artifact ID | LRN-P09-001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14 hours (instruction, guided practice, independent lab, and evidence review)</w:t>
      </w:r>
    </w:p>
    <w:p>
      <w:pPr>
        <w:pStyle w:val="ListBullet"/>
      </w:pPr>
      <w:r>
        <w:t>Curriculum task hypothesis: TASK-P009 -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Model durable state explicitly.</w:t>
      </w:r>
    </w:p>
    <w:p>
      <w:pPr>
        <w:pStyle w:val="ListNumber"/>
      </w:pPr>
      <w:r>
        <w:t>Use idempotency, transactions, compensation, and approval.</w:t>
      </w:r>
    </w:p>
    <w:p>
      <w:pPr>
        <w:pStyle w:val="ListNumber"/>
      </w:pPr>
      <w:r>
        <w:t>Test crashes, replay, races, and malicious observations.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Durable workflows separate state from a worker process. Each transition has a precondition, action, recorded result, and next state. At-least-once delivery means duplicate messages are expected; idempotency keys make repeated requests converge on one recorded outcome. Transactions protect local consistency, while compensating actions address completed external steps that cannot share a transaction. Human approval is a signed state transition with scope and expiry, not a sentence in a prompt. Audit records must reconstruct decisions without exposing prohibited content.</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state transitions and terminal states.</w:t>
      </w:r>
    </w:p>
    <w:p>
      <w:pPr>
        <w:pStyle w:val="ListBullet"/>
      </w:pPr>
      <w:r>
        <w:t>Choose idempotency scope and retention.</w:t>
      </w:r>
    </w:p>
    <w:p>
      <w:pPr>
        <w:pStyle w:val="ListBullet"/>
      </w:pPr>
      <w:r>
        <w:t>Place approvals before consequential simulated actions.</w:t>
      </w:r>
    </w:p>
    <w:p>
      <w:pPr>
        <w:pStyle w:val="Heading2"/>
      </w:pPr>
      <w:r>
        <w:t>Worked example</w:t>
      </w:r>
    </w:p>
    <w:p>
      <w:r>
        <w:rPr>
          <w:rFonts w:ascii="Calibri" w:hAnsi="Calibri"/>
          <w:sz w:val="22"/>
        </w:rPr>
        <w:t>A synthetic case workflow crashes after recording an action but before acknowledging the message. Replay uses the same idempotency key and does not duplicate the action. A malicious observation cannot move the case to approved.</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`labs/P/P09/scenario.json`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Implement the durable state handler, then pass crash/replay, duplicate-message, stale-approval, invalid-transition, and malicious-observation tests.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assume at-least-once delivery?</w:t>
      </w:r>
    </w:p>
    <w:p>
      <w:pPr>
        <w:pStyle w:val="ListNumber"/>
      </w:pPr>
      <w:r>
        <w:t>When is compensation needed?</w:t>
      </w:r>
    </w:p>
    <w:p>
      <w:pPr>
        <w:pStyle w:val="ListNumber"/>
      </w:pPr>
      <w:r>
        <w:t>What makes an approval auditable?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Replay the event log from state zero. If reconstructed state differs, locate the first nondeterministic or unrecorded transition.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https://genai.owasp.org/</w:t>
      </w:r>
    </w:p>
    <w:p>
      <w:pPr>
        <w:pStyle w:val="ListBullet"/>
      </w:pPr>
      <w:r>
        <w:t>https://docs.temporal.io/workflows</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P10 | Performance, reliability, and resource governance</w:t>
      </w:r>
    </w:p>
    <w:p>
      <w:pPr>
        <w:spacing w:after="40"/>
      </w:pPr>
      <w:r>
        <w:rPr>
          <w:color w:val="464646"/>
          <w:sz w:val="18"/>
        </w:rPr>
        <w:t>Control field | Value</w:t>
      </w:r>
    </w:p>
    <w:p>
      <w:pPr>
        <w:spacing w:after="40"/>
      </w:pPr>
      <w:r>
        <w:rPr>
          <w:color w:val="464646"/>
          <w:sz w:val="18"/>
        </w:rPr>
        <w:t>Artifact ID | LRN-P10-001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TASK-P010 -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Test latency, throughput, availability, and degradation.</w:t>
      </w:r>
    </w:p>
    <w:p>
      <w:pPr>
        <w:pStyle w:val="ListNumber"/>
      </w:pPr>
      <w:r>
        <w:t>Apply caching, batching, routing, and fallback with evidence.</w:t>
      </w:r>
    </w:p>
    <w:p>
      <w:pPr>
        <w:pStyle w:val="ListNumber"/>
      </w:pPr>
      <w:r>
        <w:t>Enforce per-request resource budgets.</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Performance governance starts with user-facing SLOs and an error budget, then links them to request admission, concurrency, model routing, cache behavior, and dependency failure. Report median and tail latency; p95 or p99 often governs experience. A cache must not bypass freshness or authorization. Fallbacks require quality and safety evaluation. Resource budgets cap tokens, tool calls, elapsed time, retries, and compute estimates to contain loops and denial-of-wallet conditions. The lab uses unit estimates only and initiates no purchase.</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Choose SLO and error-budget policy.</w:t>
      </w:r>
    </w:p>
    <w:p>
      <w:pPr>
        <w:pStyle w:val="ListBullet"/>
      </w:pPr>
      <w:r>
        <w:t>Tune one bottleneck without regressing quality.</w:t>
      </w:r>
    </w:p>
    <w:p>
      <w:pPr>
        <w:pStyle w:val="ListBullet"/>
      </w:pPr>
      <w:r>
        <w:t>Define budget exhaustion behavior.</w:t>
      </w:r>
    </w:p>
    <w:p>
      <w:pPr>
        <w:pStyle w:val="Heading2"/>
      </w:pPr>
      <w:r>
        <w:t>Worked example</w:t>
      </w:r>
    </w:p>
    <w:p>
      <w:r>
        <w:rPr>
          <w:rFonts w:ascii="Calibri" w:hAnsi="Calibri"/>
          <w:sz w:val="22"/>
        </w:rPr>
        <w:t>A load trace shows p95 latency breaches after queue depth 20. A bounded concurrency change improves p95, while the quality regression check stays within tolerance. Requests exceeding tool budget abstain.</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`labs/P/P10/scenario.json`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Analyze the synthetic load trace, compute percentiles, propose one change, and apply the quality/resource release checks.</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Why report percentiles?</w:t>
      </w:r>
    </w:p>
    <w:p>
      <w:pPr>
        <w:pStyle w:val="ListNumber"/>
      </w:pPr>
      <w:r>
        <w:t>When can caching be incorrect?</w:t>
      </w:r>
    </w:p>
    <w:p>
      <w:pPr>
        <w:pStyle w:val="ListNumber"/>
      </w:pPr>
      <w:r>
        <w:t>What should happen at budget exhaustion?</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Sort raw durations and verify the percentile convention. Change one control at a time and rerun both performance and quality checks.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https://sre.google/sre-book/embracing-risk/</w:t>
      </w:r>
    </w:p>
    <w:p>
      <w:pPr>
        <w:pStyle w:val="ListBullet"/>
      </w:pPr>
      <w:r>
        <w:t>https://airc.nist.gov/Docs/Generative_AI_Profile.pdf</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P11 | Secure supply chain and continuous delivery</w:t>
      </w:r>
    </w:p>
    <w:p>
      <w:pPr>
        <w:spacing w:after="40"/>
      </w:pPr>
      <w:r>
        <w:rPr>
          <w:color w:val="464646"/>
          <w:sz w:val="18"/>
        </w:rPr>
        <w:t>Control field | Value</w:t>
      </w:r>
    </w:p>
    <w:p>
      <w:pPr>
        <w:spacing w:after="40"/>
      </w:pPr>
      <w:r>
        <w:rPr>
          <w:color w:val="464646"/>
          <w:sz w:val="18"/>
        </w:rPr>
        <w:t>Artifact ID | LRN-P11-001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12 hours (instruction, guided practice, independent lab, and evidence review)</w:t>
      </w:r>
    </w:p>
    <w:p>
      <w:pPr>
        <w:pStyle w:val="ListBullet"/>
      </w:pPr>
      <w:r>
        <w:t>Curriculum task hypothesis: TASK-P011 -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Inventory code, model, data, dependency, and image artifacts.</w:t>
      </w:r>
    </w:p>
    <w:p>
      <w:pPr>
        <w:pStyle w:val="ListNumber"/>
      </w:pPr>
      <w:r>
        <w:t>Verify hashes, provenance, licenses, and scan results.</w:t>
      </w:r>
    </w:p>
    <w:p>
      <w:pPr>
        <w:pStyle w:val="ListNumber"/>
      </w:pPr>
      <w:r>
        <w:t>Gate changes on evaluation and rollback evidence.</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An AI release contains more than source code. Inventory dependencies, container/base image, model identifier and checksum, prompt/config versions, dataset/eval manifests, licenses, and build provenance. A hash proves byte identity, not trust or authorization. CI classifies the change and runs required gates: unit/security tests, dependency policy, model/data hash approval, evaluation slices, configuration validation, and rollback availability. A signed bundle is useful only when the signer, key custody, verification process, and source inputs are governed.</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Define the release artifact set.</w:t>
      </w:r>
    </w:p>
    <w:p>
      <w:pPr>
        <w:pStyle w:val="ListBullet"/>
      </w:pPr>
      <w:r>
        <w:t>Map change classes to required gates.</w:t>
      </w:r>
    </w:p>
    <w:p>
      <w:pPr>
        <w:pStyle w:val="ListBullet"/>
      </w:pPr>
      <w:r>
        <w:t>Block unknown provenance or changed critical hashes pending review.</w:t>
      </w:r>
    </w:p>
    <w:p>
      <w:pPr>
        <w:pStyle w:val="Heading2"/>
      </w:pPr>
      <w:r>
        <w:t>Worked example</w:t>
      </w:r>
    </w:p>
    <w:p>
      <w:r>
        <w:rPr>
          <w:rFonts w:ascii="Calibri" w:hAnsi="Calibri"/>
          <w:sz w:val="22"/>
        </w:rPr>
        <w:t>The supplied manifest contains one changed model hash and a vulnerable synthetic dependency flag. The pipeline blocks release, records causes, then passes a corrected, independently reproducible bundle.</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`labs/P/P11/scenario.json`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Generate the manifest and hashes, run policy gates on the failing and corrected bundles, and produce a blocked/successful release record.</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What does a hash prove?</w:t>
      </w:r>
    </w:p>
    <w:p>
      <w:pPr>
        <w:pStyle w:val="ListNumber"/>
      </w:pPr>
      <w:r>
        <w:t>Why include model and data manifests?</w:t>
      </w:r>
    </w:p>
    <w:p>
      <w:pPr>
        <w:pStyle w:val="ListNumber"/>
      </w:pPr>
      <w:r>
        <w:t>What evidence makes a rollback artifact usable?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Verify one artifact hash manually. If provenance is unknown, quarantine the artifact rather than adding it to the allowlist.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https://csrc.nist.gov/pubs/sp/800/218/a/final</w:t>
      </w:r>
    </w:p>
    <w:p>
      <w:pPr>
        <w:pStyle w:val="ListBullet"/>
      </w:pPr>
      <w:r>
        <w:t>https://www.cisa.gov/sbom</w:t>
      </w:r>
    </w:p>
    <w:p>
      <w:r>
        <w:rPr>
          <w:rFonts w:ascii="Calibri" w:hAnsi="Calibri"/>
          <w:sz w:val="22"/>
        </w:rPr>
        <w:t>Source currency must be checked before each cohort. Provider/product behavior is illustrative where mocked; resolve current interfaces only from official documentation in an authorized environment.</w:t>
      </w:r>
    </w:p>
    <w:p>
      <w:r>
        <w:br w:type="page"/>
      </w:r>
    </w:p>
    <w:p>
      <w:pPr>
        <w:pStyle w:val="Heading1"/>
      </w:pPr>
      <w:r>
        <w:t>P12 | Production capstone, incident exercise, and board</w:t>
      </w:r>
    </w:p>
    <w:p>
      <w:pPr>
        <w:spacing w:after="40"/>
      </w:pPr>
      <w:r>
        <w:rPr>
          <w:color w:val="464646"/>
          <w:sz w:val="18"/>
        </w:rPr>
        <w:t>Control field | Value</w:t>
      </w:r>
    </w:p>
    <w:p>
      <w:pPr>
        <w:spacing w:after="40"/>
      </w:pPr>
      <w:r>
        <w:rPr>
          <w:color w:val="464646"/>
          <w:sz w:val="18"/>
        </w:rPr>
        <w:t>Artifact ID | LRN-P12-001</w:t>
      </w:r>
    </w:p>
    <w:p>
      <w:pPr>
        <w:spacing w:after="40"/>
      </w:pPr>
      <w:r>
        <w:rPr>
          <w:color w:val="464646"/>
          <w:sz w:val="18"/>
        </w:rPr>
        <w:t>Version | 0.1-rc1</w:t>
      </w:r>
    </w:p>
    <w:p>
      <w:pPr>
        <w:spacing w:after="40"/>
      </w:pPr>
      <w:r>
        <w:rPr>
          <w:color w:val="464646"/>
          <w:sz w:val="18"/>
        </w:rPr>
        <w:t>Status | Release candidate - training content; technical and instructional pilot pending</w:t>
      </w:r>
    </w:p>
    <w:p>
      <w:pPr>
        <w:spacing w:after="40"/>
      </w:pPr>
      <w:r>
        <w:rPr>
          <w:color w:val="464646"/>
          <w:sz w:val="18"/>
        </w:rPr>
        <w:t>Owner | VetsLearn program owner - appointment/approval pending</w:t>
      </w:r>
    </w:p>
    <w:p>
      <w:pPr>
        <w:spacing w:after="40"/>
      </w:pPr>
      <w:r>
        <w:rPr>
          <w:color w:val="464646"/>
          <w:sz w:val="18"/>
        </w:rPr>
        <w:t>Approver | Authorized curriculum authority - pending</w:t>
      </w:r>
    </w:p>
    <w:p>
      <w:pPr>
        <w:spacing w:after="40"/>
      </w:pPr>
      <w:r>
        <w:rPr>
          <w:color w:val="464646"/>
          <w:sz w:val="18"/>
        </w:rPr>
        <w:t>Effective date | Pending approval</w:t>
      </w:r>
    </w:p>
    <w:p>
      <w:pPr>
        <w:spacing w:after="40"/>
      </w:pPr>
      <w:r>
        <w:rPr>
          <w:color w:val="464646"/>
          <w:sz w:val="18"/>
        </w:rPr>
        <w:t>Review date | Before each cohort and at least quarterly for technical sources</w:t>
      </w:r>
    </w:p>
    <w:p>
      <w:pPr>
        <w:spacing w:after="40"/>
      </w:pPr>
      <w:r>
        <w:rPr>
          <w:color w:val="464646"/>
          <w:sz w:val="18"/>
        </w:rPr>
        <w:t>Handling | PUBLIC TRAINING MATERIAL - SYNTHETIC DATA ONLY</w:t>
      </w:r>
    </w:p>
    <w:p>
      <w:pPr>
        <w:spacing w:after="40"/>
      </w:pPr>
      <w:r>
        <w:rPr>
          <w:color w:val="464646"/>
          <w:sz w:val="18"/>
        </w:rPr>
        <w:t>Relationship | Curriculum v3.0-rc1; Delivery Handbook v3.0-rc2; role task and lesson ID shown below</w:t>
      </w:r>
    </w:p>
    <w:p>
      <w:pPr>
        <w:pStyle w:val="Heading1"/>
      </w:pPr>
      <w:r>
        <w:t>Revision history</w:t>
      </w:r>
    </w:p>
    <w:p>
      <w:pPr>
        <w:spacing w:after="40"/>
      </w:pPr>
      <w:r>
        <w:rPr>
          <w:color w:val="464646"/>
          <w:sz w:val="18"/>
        </w:rPr>
        <w:t>Version | Date | Change | Approval</w:t>
      </w:r>
    </w:p>
    <w:p>
      <w:pPr>
        <w:spacing w:after="40"/>
      </w:pPr>
      <w:r>
        <w:rPr>
          <w:color w:val="464646"/>
          <w:sz w:val="18"/>
        </w:rPr>
        <w:t>0.1-rc1 | 2026-08-01 | Initial customer-ready release-candidate build | Not approved; pilot pending</w:t>
      </w:r>
    </w:p>
    <w:p>
      <w:pPr>
        <w:ind w:left="360" w:right="288"/>
      </w:pPr>
      <w:r>
        <w:rPr>
          <w:b/>
          <w:color w:val="822D2D"/>
        </w:rPr>
        <w:t>TRAINING-ONLY NOTICE: This lesson and its practice activities prepare learners for a proposed role. Completion is not certification, government or DoD approval, accreditation, an ATO, a clearance qualification, or acceptance for any labor category. Certification decisions require separately approved eligibility, secure assessment evidence, a validated passing standard, and an independent decision authority.</w:t>
      </w:r>
    </w:p>
    <w:p>
      <w:pPr>
        <w:pStyle w:val="Heading1"/>
      </w:pPr>
      <w:r>
        <w:t>Lesson contract</w:t>
      </w:r>
    </w:p>
    <w:p>
      <w:pPr>
        <w:pStyle w:val="ListBullet"/>
      </w:pPr>
      <w:r>
        <w:t>Module: P - Production AI Engineering</w:t>
      </w:r>
    </w:p>
    <w:p>
      <w:pPr>
        <w:pStyle w:val="ListBullet"/>
      </w:pPr>
      <w:r>
        <w:t>Planned learning time: 64 hours (instruction, guided practice, independent lab, and evidence review)</w:t>
      </w:r>
    </w:p>
    <w:p>
      <w:pPr>
        <w:pStyle w:val="ListBullet"/>
      </w:pPr>
      <w:r>
        <w:t>Curriculum task hypothesis: TASK-P012 - provisional pending practitioner validation</w:t>
      </w:r>
    </w:p>
    <w:p>
      <w:pPr>
        <w:pStyle w:val="ListBullet"/>
      </w:pPr>
      <w:r>
        <w:t>Required environment: local Python 3.11+ sandbox; no network, credentials, paid services, or operational data</w:t>
      </w:r>
    </w:p>
    <w:p>
      <w:pPr>
        <w:pStyle w:val="ListBullet"/>
      </w:pPr>
      <w:r>
        <w:t>Required evidence: completed lab, passing reference-aligned local checks, decision record, and limitation statement</w:t>
      </w:r>
    </w:p>
    <w:p>
      <w:pPr>
        <w:pStyle w:val="Heading1"/>
      </w:pPr>
      <w:r>
        <w:t>Performance objectives</w:t>
      </w:r>
    </w:p>
    <w:p>
      <w:pPr>
        <w:pStyle w:val="ListNumber"/>
      </w:pPr>
      <w:r>
        <w:t>Operate a production-like synthetic service against SLOs and gates.</w:t>
      </w:r>
    </w:p>
    <w:p>
      <w:pPr>
        <w:pStyle w:val="ListNumber"/>
      </w:pPr>
      <w:r>
        <w:t>Respond to an unannounced incident inject.</w:t>
      </w:r>
    </w:p>
    <w:p>
      <w:pPr>
        <w:pStyle w:val="ListNumber"/>
      </w:pPr>
      <w:r>
        <w:t>Defend design, evidence, residual risk, and operating ownership.</w:t>
      </w:r>
    </w:p>
    <w:p>
      <w:pPr>
        <w:pStyle w:val="Heading1"/>
      </w:pPr>
      <w:r>
        <w:t>Before you begin</w:t>
      </w:r>
    </w:p>
    <w:p>
      <w:r>
        <w:rPr>
          <w:rFonts w:ascii="Calibri" w:hAnsi="Calibri"/>
          <w:sz w:val="22"/>
        </w:rPr>
        <w:t>Read the environment README, run `python verify_environment.py`, and confirm the lesson folder contains only synthetic data. Complete the authorization-before-use screen: owner is "VetsLearn synthetic courseware," information category is public synthetic training data, approved purpose is this lesson, and decision is proceed locally. If any file appears to contain a real name, credential, organization-specific identifier, or sensitive operational detail, stop and notify the instructor.</w:t>
      </w:r>
    </w:p>
    <w:p>
      <w:pPr>
        <w:pStyle w:val="Heading1"/>
      </w:pPr>
      <w:r>
        <w:t>Technical instruction</w:t>
      </w:r>
    </w:p>
    <w:p>
      <w:r>
        <w:rPr>
          <w:rFonts w:ascii="Calibri" w:hAnsi="Calibri"/>
          <w:sz w:val="22"/>
        </w:rPr>
        <w:t>The Production capstone combines architecture, data governance, authorization, threat evidence, evaluation, observability, reliability, supply chain, delivery, and incident response. The team declares SLOs, failure rules, ownership, and change plan before observation. An inject tests detection and decision quality, not theatrical speed. The board reviews immutable evidence, asks what changed, challenges assumptions, and requires an explicit statement of what the training artifact does not prove. The sandbox is not an ATO, clearance qualification, contracting authority, or independent-expert designation.</w:t>
      </w:r>
    </w:p>
    <w:p>
      <w:r>
        <w:rPr>
          <w:rFonts w:ascii="Calibri" w:hAnsi="Calibri"/>
          <w:sz w:val="22"/>
        </w:rPr>
        <w:t>Use a control-first sequence:</w:t>
      </w:r>
    </w:p>
    <w:p>
      <w:pPr>
        <w:pStyle w:val="ListNumber"/>
      </w:pPr>
      <w:r>
        <w:t>State the user or system outcome and the unacceptable outcome.</w:t>
      </w:r>
    </w:p>
    <w:p>
      <w:pPr>
        <w:pStyle w:val="ListNumber"/>
      </w:pPr>
      <w:r>
        <w:t>Identify the authenticated actor, data/resource, tool, and decision owner.</w:t>
      </w:r>
    </w:p>
    <w:p>
      <w:pPr>
        <w:pStyle w:val="ListNumber"/>
      </w:pPr>
      <w:r>
        <w:t>Define an observable acceptance rule before implementation.</w:t>
      </w:r>
    </w:p>
    <w:p>
      <w:pPr>
        <w:pStyle w:val="ListNumber"/>
      </w:pPr>
      <w:r>
        <w:t>Implement the smallest mechanism that can satisfy the rule.</w:t>
      </w:r>
    </w:p>
    <w:p>
      <w:pPr>
        <w:pStyle w:val="ListNumber"/>
      </w:pPr>
      <w:r>
        <w:t>Test normal, boundary, adversarial, and recovery cases.</w:t>
      </w:r>
    </w:p>
    <w:p>
      <w:pPr>
        <w:pStyle w:val="ListNumber"/>
      </w:pPr>
      <w:r>
        <w:t>Preserve evidence and state what the result does not prove.</w:t>
      </w:r>
    </w:p>
    <w:p>
      <w:pPr>
        <w:pStyle w:val="Heading2"/>
      </w:pPr>
      <w:r>
        <w:t>Engineering decisions</w:t>
      </w:r>
    </w:p>
    <w:p>
      <w:pPr>
        <w:pStyle w:val="ListBullet"/>
      </w:pPr>
      <w:r>
        <w:t>Freeze scope and decision rights.</w:t>
      </w:r>
    </w:p>
    <w:p>
      <w:pPr>
        <w:pStyle w:val="ListBullet"/>
      </w:pPr>
      <w:r>
        <w:t>Predeclare release, containment, and rollback gates.</w:t>
      </w:r>
    </w:p>
    <w:p>
      <w:pPr>
        <w:pStyle w:val="ListBullet"/>
      </w:pPr>
      <w:r>
        <w:t>Assign legitimate owners for residual risk and follow-up.</w:t>
      </w:r>
    </w:p>
    <w:p>
      <w:pPr>
        <w:pStyle w:val="Heading2"/>
      </w:pPr>
      <w:r>
        <w:t>Worked example</w:t>
      </w:r>
    </w:p>
    <w:p>
      <w:r>
        <w:rPr>
          <w:rFonts w:ascii="Calibri" w:hAnsi="Calibri"/>
          <w:sz w:val="22"/>
        </w:rPr>
        <w:t>The seed service passes initial gates, then an inject changes an authorization mapping and degrades p95 latency. The team contains the route, preserves logs, rolls back, verifies negative-access and latency recovery, and adds both cases to CI.</w:t>
      </w:r>
    </w:p>
    <w:p>
      <w:r>
        <w:rPr>
          <w:rFonts w:ascii="Calibri" w:hAnsi="Calibri"/>
          <w:sz w:val="22"/>
        </w:rPr>
        <w:t>The worked example is intentionally small. Its value is the trace: requirement -&gt; implementation -&gt; test -&gt; evidence -&gt; human decision. Do not copy the answer without explaining why each boundary exists. A production implementation would need organization-specific architecture, security, privacy, records, accessibility, operations, and authorization review.</w:t>
      </w:r>
    </w:p>
    <w:p>
      <w:pPr>
        <w:pStyle w:val="Heading2"/>
      </w:pPr>
      <w:r>
        <w:t>Failure analysis and evidence discipline</w:t>
      </w:r>
    </w:p>
    <w:p>
      <w:r>
        <w:rPr>
          <w:rFonts w:ascii="Calibri" w:hAnsi="Calibri"/>
          <w:sz w:val="22"/>
        </w:rPr>
        <w:t>When a check fails, preserve the original input, expected result, actual result, environment version, and test identifier. Classify the failure before repairing it: requirement ambiguity, invalid data, implementation defect, authorization defect, evaluation defect, dependency or environment drift, or documentation gap. Repair the controlling mechanism, not merely the observed example. Then rerun the smallest reproducing case, the related adversarial case, and the full regression set. A passing rerun without the original failure record weakens the evidence chain.</w:t>
      </w:r>
    </w:p>
    <w:p>
      <w:r>
        <w:rPr>
          <w:rFonts w:ascii="Calibri" w:hAnsi="Calibri"/>
          <w:sz w:val="22"/>
        </w:rPr>
        <w:t>Distinguish three claims. Functional evidence shows what this local implementation did under stated conditions. Transfer evidence shows another person could reproduce the result. Operational authorization is a separate human decision based on the real system boundary, data, policy, security, privacy, records, accessibility, and mission consequence. This lesson can produce the first two with synthetic data; it cannot produce the third. If required evidence is absent or conflicting, record unresolved, abstain from the affected release claim, and escalate to the named owner.</w:t>
      </w:r>
    </w:p>
    <w:p>
      <w:pPr>
        <w:pStyle w:val="Heading1"/>
      </w:pPr>
      <w:r>
        <w:t>Guided practice</w:t>
      </w:r>
    </w:p>
    <w:p>
      <w:pPr>
        <w:pStyle w:val="ListNumber"/>
      </w:pPr>
      <w:r>
        <w:t>Open `labs/P/P12/scenario.json` and identify the user, assets, allowed actions, prohibited outcomes, and seeded failure.</w:t>
      </w:r>
    </w:p>
    <w:p>
      <w:pPr>
        <w:pStyle w:val="ListNumber"/>
      </w:pPr>
      <w:r>
        <w:t>Read `starter.py` without editing. Mark the exact function where the control must be enforced.</w:t>
      </w:r>
    </w:p>
    <w:p>
      <w:pPr>
        <w:pStyle w:val="ListNumber"/>
      </w:pPr>
      <w:r>
        <w:t>Predict the outcome of each test case. Record your prediction in `learner_decision_record.md`.</w:t>
      </w:r>
    </w:p>
    <w:p>
      <w:pPr>
        <w:pStyle w:val="ListNumber"/>
      </w:pPr>
      <w:r>
        <w:t>Implement one requirement at a time. Run `python test_lab.py` after each change.</w:t>
      </w:r>
    </w:p>
    <w:p>
      <w:pPr>
        <w:pStyle w:val="ListNumber"/>
      </w:pPr>
      <w:r>
        <w:t>Compare the observed result with your prediction. When they differ, explain the mechanism rather than changing the expected result.</w:t>
      </w:r>
    </w:p>
    <w:p>
      <w:pPr>
        <w:pStyle w:val="ListNumber"/>
      </w:pPr>
      <w:r>
        <w:t>Run the adversarial or incident cases from `threat_scenarios.json` or `incident_injects.json`.</w:t>
      </w:r>
    </w:p>
    <w:p>
      <w:pPr>
        <w:pStyle w:val="ListNumber"/>
      </w:pPr>
      <w:r>
        <w:t>Complete the evidence and limitation sections in the decision record.</w:t>
      </w:r>
    </w:p>
    <w:p>
      <w:pPr>
        <w:pStyle w:val="Heading1"/>
      </w:pPr>
      <w:r>
        <w:t>Independent laboratory</w:t>
      </w:r>
    </w:p>
    <w:p>
      <w:r>
        <w:rPr>
          <w:rFonts w:ascii="Calibri" w:hAnsi="Calibri"/>
          <w:sz w:val="22"/>
        </w:rPr>
        <w:t>Complete the 60-hour synthetic team build, 24-hour simulated observation window, incident inject, evidence bundle, and 45-minute practice board using the training rubric.</w:t>
      </w:r>
    </w:p>
    <w:p>
      <w:pPr>
        <w:pStyle w:val="Heading2"/>
      </w:pPr>
      <w:r>
        <w:t>Required deliverables</w:t>
      </w:r>
    </w:p>
    <w:p>
      <w:pPr>
        <w:pStyle w:val="ListBullet"/>
      </w:pPr>
      <w:r>
        <w:t>Modified `starter.py` with no embedded secrets, network calls, or real data</w:t>
      </w:r>
    </w:p>
    <w:p>
      <w:pPr>
        <w:pStyle w:val="ListBullet"/>
      </w:pPr>
      <w:r>
        <w:t>Local test output for normal, boundary, adversarial, and recovery cases</w:t>
      </w:r>
    </w:p>
    <w:p>
      <w:pPr>
        <w:pStyle w:val="ListBullet"/>
      </w:pPr>
      <w:r>
        <w:t>Completed `learner_decision_record.md`</w:t>
      </w:r>
    </w:p>
    <w:p>
      <w:pPr>
        <w:pStyle w:val="ListBullet"/>
      </w:pPr>
      <w:r>
        <w:t>One reproducibility check performed from a clean copy or by a peer</w:t>
      </w:r>
    </w:p>
    <w:p>
      <w:pPr>
        <w:pStyle w:val="ListBullet"/>
      </w:pPr>
      <w:r>
        <w:t>A concise limitation statement naming at least one untested condition and the decision owner for operational use</w:t>
      </w:r>
    </w:p>
    <w:p>
      <w:pPr>
        <w:pStyle w:val="Heading2"/>
      </w:pPr>
      <w:r>
        <w:t>Acceptance checklist</w:t>
      </w:r>
    </w:p>
    <w:p>
      <w:pPr>
        <w:pStyle w:val="ListBullet"/>
      </w:pPr>
      <w:r>
        <w:t>☐ Required behavior is demonstrated by repeatable tests.</w:t>
      </w:r>
    </w:p>
    <w:p>
      <w:pPr>
        <w:pStyle w:val="ListBullet"/>
      </w:pPr>
      <w:r>
        <w:t>☐ Prohibited behavior is prevented by code or configuration, not prompt wording.</w:t>
      </w:r>
    </w:p>
    <w:p>
      <w:pPr>
        <w:pStyle w:val="ListBullet"/>
      </w:pPr>
      <w:r>
        <w:t>☐ Synthetic data provenance and identifiers remain intact.</w:t>
      </w:r>
    </w:p>
    <w:p>
      <w:pPr>
        <w:pStyle w:val="ListBullet"/>
      </w:pPr>
      <w:r>
        <w:t>☐ Logs contain only allowlisted fields.</w:t>
      </w:r>
    </w:p>
    <w:p>
      <w:pPr>
        <w:pStyle w:val="ListBullet"/>
      </w:pPr>
      <w:r>
        <w:t>☐ Failure behavior is bounded and observable.</w:t>
      </w:r>
    </w:p>
    <w:p>
      <w:pPr>
        <w:pStyle w:val="ListBullet"/>
      </w:pPr>
      <w:r>
        <w:t>☐ The result includes a recovery or rollback route.</w:t>
      </w:r>
    </w:p>
    <w:p>
      <w:pPr>
        <w:pStyle w:val="ListBullet"/>
      </w:pPr>
      <w:r>
        <w:t>☐ The learner states what the evidence does not establish.</w:t>
      </w:r>
    </w:p>
    <w:p>
      <w:pPr>
        <w:pStyle w:val="Heading1"/>
      </w:pPr>
      <w:r>
        <w:t>Formative knowledge check</w:t>
      </w:r>
    </w:p>
    <w:p>
      <w:pPr>
        <w:pStyle w:val="ListNumber"/>
      </w:pPr>
      <w:r>
        <w:t>Which evidence justified release?</w:t>
      </w:r>
    </w:p>
    <w:p>
      <w:pPr>
        <w:pStyle w:val="ListNumber"/>
      </w:pPr>
      <w:r>
        <w:t>What signal triggered containment?</w:t>
      </w:r>
    </w:p>
    <w:p>
      <w:pPr>
        <w:pStyle w:val="ListNumber"/>
      </w:pPr>
      <w:r>
        <w:t>What does successful recovery require?</w:t>
      </w:r>
    </w:p>
    <w:p>
      <w:pPr>
        <w:pStyle w:val="ListNumber"/>
      </w:pPr>
      <w:r>
        <w:t>Which observable test would reveal the most consequential failure in this lesson?</w:t>
      </w:r>
    </w:p>
    <w:p>
      <w:pPr>
        <w:pStyle w:val="ListNumber"/>
      </w:pPr>
      <w:r>
        <w:t>What evidence and human authority would be required before transferring this synthetic result to an operational environment?</w:t>
      </w:r>
    </w:p>
    <w:p>
      <w:r>
        <w:rPr>
          <w:rFonts w:ascii="Calibri" w:hAnsi="Calibri"/>
          <w:sz w:val="22"/>
        </w:rPr>
        <w:t>Write one or two sentences for each answer and cite either the lesson mechanism, a test, or a primary source. The instructor key is stored separately in the instructor-only directory. These questions are practice and are not secure certification items.</w:t>
      </w:r>
    </w:p>
    <w:p>
      <w:pPr>
        <w:pStyle w:val="Heading1"/>
      </w:pPr>
      <w:r>
        <w:t>Debrief and transfer</w:t>
      </w:r>
    </w:p>
    <w:p>
      <w:r>
        <w:rPr>
          <w:rFonts w:ascii="Calibri" w:hAnsi="Calibri"/>
          <w:sz w:val="22"/>
        </w:rPr>
        <w:t>Brief back: explain the governing decision rule; show one artifact; demonstrate one failure mode; name the authority or evidence needed before operational use; and identify what a human decided that the system could not decide legitimately.</w:t>
      </w:r>
    </w:p>
    <w:p>
      <w:pPr>
        <w:pStyle w:val="Heading1"/>
      </w:pPr>
      <w:r>
        <w:t>Remediation</w:t>
      </w:r>
    </w:p>
    <w:p>
      <w:r>
        <w:rPr>
          <w:rFonts w:ascii="Calibri" w:hAnsi="Calibri"/>
          <w:sz w:val="22"/>
        </w:rPr>
        <w:t>Use the reset manifest and incident controller. If the environment becomes inconsistent, preserve the event log, restore the last known-good snapshot, and document the gap rather than reconstructing favorable evidence. After repair, reassess with the alternate scenario in `scenario_alt.json`. A critical authorization, data-handling, evidence-integrity, or prohibited-action failure cannot be averaged into successful practice; it requires targeted remediation.</w:t>
      </w:r>
    </w:p>
    <w:p>
      <w:pPr>
        <w:pStyle w:val="Heading1"/>
      </w:pPr>
      <w:r>
        <w:t>Primary and technical sources</w:t>
      </w:r>
    </w:p>
    <w:p>
      <w:pPr>
        <w:pStyle w:val="ListBullet"/>
      </w:pPr>
      <w:r>
        <w:t>https://csrc.nist.gov/pubs/sp/800/61/r3/final</w:t>
      </w:r>
    </w:p>
    <w:p>
      <w:pPr>
        <w:pStyle w:val="ListBullet"/>
      </w:pPr>
      <w:r>
        <w:t>https://csrc.nist.gov/pubs/sp/800/218/final</w:t>
      </w:r>
    </w:p>
    <w:p>
      <w:pPr>
        <w:pStyle w:val="ListBullet"/>
      </w:pPr>
      <w:r>
        <w:t>https://airc.nist.gov/Docs/Generative_AI_Profile.pdf</w:t>
      </w:r>
    </w:p>
    <w:p>
      <w:r>
        <w:rPr>
          <w:rFonts w:ascii="Calibri" w:hAnsi="Calibri"/>
          <w:sz w:val="22"/>
        </w:rPr>
        <w:t>Source currency must be checked before each cohort. Provider/product behavior is illustrative where mocked; resolve current interfaces only from official documentation in an authorized environment.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CUSTOMER COURSEWARE - RELEASE CANDIDATE | 0.1-rc1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5A626C"/>
        <w:sz w:val="16"/>
      </w:rPr>
      <w:t>VETSLEARN APPLIED AI ACADEMY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